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3"/>
        <w:spacing w:before="2520" w:after="240" w:line="560" w:lineRule="atLeast"/>
        <w:jc w:val="center"/>
        <w:rPr>
          <w:rFonts w:hint="default" w:ascii="宋体" w:hAnsi="宋体" w:eastAsia="宋体" w:cs="黑体"/>
          <w:b/>
          <w:bCs/>
          <w:sz w:val="44"/>
          <w:szCs w:val="44"/>
        </w:rPr>
      </w:pPr>
      <w:r>
        <w:rPr>
          <w:rFonts w:ascii="宋体" w:hAnsi="宋体" w:eastAsia="宋体" w:cs="黑体"/>
          <w:b/>
          <w:bCs/>
          <w:sz w:val="44"/>
          <w:szCs w:val="44"/>
        </w:rPr>
        <w:t>太原重型机械集团有限公司</w:t>
      </w:r>
    </w:p>
    <w:p>
      <w:pPr>
        <w:pStyle w:val="23"/>
        <w:spacing w:before="240" w:after="240" w:line="560" w:lineRule="atLeast"/>
        <w:jc w:val="center"/>
        <w:rPr>
          <w:rFonts w:hint="default" w:ascii="宋体" w:hAnsi="宋体" w:eastAsia="宋体"/>
          <w:b/>
          <w:bCs/>
          <w:sz w:val="36"/>
          <w:szCs w:val="36"/>
        </w:rPr>
      </w:pPr>
      <w:r>
        <w:rPr>
          <w:rFonts w:ascii="宋体" w:hAnsi="宋体" w:eastAsia="宋体" w:cs="黑体"/>
          <w:b/>
          <w:bCs/>
          <w:sz w:val="36"/>
          <w:szCs w:val="36"/>
        </w:rPr>
        <w:t>公开选聘资产评估机构备选库</w:t>
      </w:r>
      <w:r>
        <w:rPr>
          <w:rFonts w:ascii="宋体" w:hAnsi="宋体" w:eastAsia="宋体" w:cs="黑体"/>
          <w:b/>
          <w:bCs/>
          <w:sz w:val="36"/>
          <w:szCs w:val="36"/>
          <w:lang w:val="zh-TW" w:eastAsia="zh-TW"/>
        </w:rPr>
        <w:t>项目</w:t>
      </w:r>
    </w:p>
    <w:p>
      <w:pPr>
        <w:pStyle w:val="23"/>
        <w:spacing w:before="240" w:after="240" w:line="560" w:lineRule="atLeast"/>
        <w:ind w:firstLine="2873" w:firstLineChars="795"/>
        <w:rPr>
          <w:rFonts w:hint="default" w:ascii="宋体" w:hAnsi="宋体" w:eastAsia="宋体"/>
          <w:b/>
          <w:bCs/>
          <w:sz w:val="36"/>
          <w:szCs w:val="36"/>
          <w:lang w:val="zh-TW" w:eastAsia="zh-TW"/>
        </w:rPr>
      </w:pPr>
      <w:r>
        <w:rPr>
          <w:rFonts w:ascii="宋体" w:hAnsi="宋体" w:eastAsia="宋体"/>
          <w:b/>
          <w:bCs/>
          <w:sz w:val="36"/>
          <w:szCs w:val="36"/>
          <w:lang w:val="zh-TW" w:eastAsia="zh-TW"/>
        </w:rPr>
        <w:t>招标编号：ZB23X003</w:t>
      </w:r>
    </w:p>
    <w:p>
      <w:pPr>
        <w:pStyle w:val="23"/>
        <w:spacing w:before="240" w:after="240" w:line="560" w:lineRule="atLeast"/>
        <w:jc w:val="center"/>
        <w:rPr>
          <w:rFonts w:hint="default" w:eastAsia="PMingLiU"/>
          <w:b/>
          <w:bCs/>
          <w:sz w:val="44"/>
          <w:szCs w:val="44"/>
          <w:lang w:val="zh-TW" w:eastAsia="zh-TW"/>
        </w:rPr>
      </w:pPr>
    </w:p>
    <w:p>
      <w:pPr>
        <w:pStyle w:val="23"/>
        <w:spacing w:before="240" w:after="240" w:line="560" w:lineRule="atLeast"/>
        <w:jc w:val="center"/>
        <w:rPr>
          <w:rFonts w:hint="default" w:ascii="宋体" w:hAnsi="宋体" w:eastAsia="宋体"/>
          <w:b/>
          <w:bCs/>
          <w:sz w:val="84"/>
          <w:szCs w:val="84"/>
          <w:lang w:val="zh-TW" w:eastAsia="zh-TW"/>
        </w:rPr>
      </w:pPr>
      <w:r>
        <w:rPr>
          <w:rFonts w:ascii="宋体" w:hAnsi="宋体" w:eastAsia="宋体" w:cs="黑体"/>
          <w:b/>
          <w:bCs/>
          <w:sz w:val="72"/>
          <w:szCs w:val="72"/>
          <w:lang w:val="zh-TW" w:eastAsia="zh-TW"/>
        </w:rPr>
        <w:t>招标文件</w:t>
      </w:r>
    </w:p>
    <w:p>
      <w:pPr>
        <w:pStyle w:val="23"/>
        <w:spacing w:before="480" w:line="560" w:lineRule="atLeast"/>
        <w:ind w:firstLine="3547"/>
        <w:jc w:val="center"/>
        <w:rPr>
          <w:rFonts w:hint="default"/>
          <w:b/>
          <w:bCs/>
          <w:sz w:val="32"/>
          <w:szCs w:val="32"/>
          <w:lang w:val="zh-TW" w:eastAsia="zh-TW"/>
        </w:rPr>
      </w:pPr>
    </w:p>
    <w:p>
      <w:pPr>
        <w:pStyle w:val="23"/>
        <w:spacing w:line="560" w:lineRule="atLeast"/>
        <w:jc w:val="center"/>
        <w:rPr>
          <w:rFonts w:hint="default"/>
          <w:b/>
          <w:bCs/>
          <w:sz w:val="36"/>
          <w:szCs w:val="36"/>
          <w:lang w:eastAsia="zh-TW"/>
        </w:rPr>
      </w:pPr>
    </w:p>
    <w:p>
      <w:pPr>
        <w:pStyle w:val="23"/>
        <w:spacing w:line="560" w:lineRule="atLeast"/>
        <w:jc w:val="center"/>
        <w:rPr>
          <w:rFonts w:hint="default"/>
          <w:b/>
          <w:bCs/>
          <w:sz w:val="36"/>
          <w:szCs w:val="36"/>
        </w:rPr>
      </w:pPr>
    </w:p>
    <w:p>
      <w:pPr>
        <w:pStyle w:val="23"/>
        <w:spacing w:line="560" w:lineRule="atLeast"/>
        <w:jc w:val="center"/>
        <w:rPr>
          <w:rFonts w:hint="default"/>
          <w:b/>
          <w:bCs/>
          <w:sz w:val="36"/>
          <w:szCs w:val="36"/>
        </w:rPr>
      </w:pPr>
    </w:p>
    <w:p>
      <w:pPr>
        <w:pStyle w:val="23"/>
        <w:spacing w:line="560" w:lineRule="atLeast"/>
        <w:jc w:val="center"/>
        <w:rPr>
          <w:rFonts w:hint="default"/>
          <w:b/>
          <w:bCs/>
          <w:sz w:val="36"/>
          <w:szCs w:val="36"/>
        </w:rPr>
      </w:pPr>
    </w:p>
    <w:p>
      <w:pPr>
        <w:pStyle w:val="3"/>
        <w:spacing w:line="360" w:lineRule="auto"/>
        <w:ind w:firstLine="1440" w:firstLineChars="450"/>
        <w:rPr>
          <w:rFonts w:ascii="宋体" w:hAnsi="宋体" w:eastAsia="宋体" w:cs="宋体"/>
          <w:sz w:val="32"/>
          <w:szCs w:val="32"/>
        </w:rPr>
      </w:pPr>
      <w:r>
        <w:rPr>
          <w:rFonts w:hint="eastAsia" w:ascii="宋体" w:hAnsi="宋体" w:eastAsia="宋体" w:cs="宋体"/>
          <w:sz w:val="32"/>
          <w:szCs w:val="32"/>
        </w:rPr>
        <w:t>招标人：太原重型机械集团有限公司</w:t>
      </w:r>
    </w:p>
    <w:p>
      <w:pPr>
        <w:pStyle w:val="3"/>
        <w:spacing w:line="360" w:lineRule="auto"/>
        <w:ind w:firstLine="1440" w:firstLineChars="450"/>
        <w:rPr>
          <w:rFonts w:ascii="宋体" w:hAnsi="宋体" w:eastAsia="宋体" w:cs="宋体"/>
          <w:sz w:val="32"/>
          <w:szCs w:val="32"/>
        </w:rPr>
      </w:pPr>
      <w:r>
        <w:rPr>
          <w:rFonts w:hint="eastAsia" w:ascii="宋体" w:hAnsi="宋体" w:eastAsia="宋体" w:cs="宋体"/>
          <w:sz w:val="32"/>
          <w:szCs w:val="32"/>
        </w:rPr>
        <w:t>招标组织单位：太原重工股份有限公司采购中心</w:t>
      </w:r>
    </w:p>
    <w:p>
      <w:pPr>
        <w:pStyle w:val="3"/>
        <w:spacing w:line="360" w:lineRule="auto"/>
        <w:jc w:val="center"/>
        <w:rPr>
          <w:rFonts w:ascii="宋体" w:hAnsi="宋体" w:eastAsia="宋体" w:cs="宋体"/>
          <w:b/>
          <w:bCs/>
          <w:sz w:val="32"/>
          <w:szCs w:val="32"/>
        </w:rPr>
      </w:pPr>
      <w:r>
        <w:rPr>
          <w:rFonts w:hint="eastAsia" w:ascii="宋体" w:hAnsi="宋体" w:eastAsia="宋体" w:cs="宋体"/>
          <w:b/>
          <w:bCs/>
          <w:sz w:val="32"/>
          <w:szCs w:val="32"/>
        </w:rPr>
        <w:t xml:space="preserve">   </w:t>
      </w:r>
    </w:p>
    <w:p>
      <w:pPr>
        <w:pStyle w:val="3"/>
        <w:spacing w:line="360" w:lineRule="auto"/>
        <w:jc w:val="center"/>
        <w:rPr>
          <w:rFonts w:ascii="宋体" w:hAnsi="宋体" w:eastAsia="PMingLiU" w:cs="宋体"/>
          <w:b/>
          <w:bCs/>
          <w:sz w:val="32"/>
          <w:szCs w:val="32"/>
          <w:lang w:val="zh-TW" w:eastAsia="zh-TW"/>
        </w:rPr>
      </w:pPr>
      <w:r>
        <w:rPr>
          <w:rFonts w:hint="eastAsia" w:ascii="宋体" w:hAnsi="宋体" w:eastAsia="宋体" w:cs="宋体"/>
          <w:b/>
          <w:bCs/>
          <w:sz w:val="32"/>
          <w:szCs w:val="32"/>
        </w:rPr>
        <w:t xml:space="preserve"> </w:t>
      </w:r>
      <w:r>
        <w:rPr>
          <w:rFonts w:ascii="宋体" w:hAnsi="宋体" w:eastAsia="宋体" w:cs="宋体"/>
          <w:b/>
          <w:bCs/>
          <w:sz w:val="32"/>
          <w:szCs w:val="32"/>
          <w:lang w:val="zh-TW" w:eastAsia="zh-TW"/>
        </w:rPr>
        <w:t>二</w:t>
      </w:r>
      <w:r>
        <w:rPr>
          <w:b/>
          <w:bCs/>
          <w:sz w:val="32"/>
          <w:szCs w:val="32"/>
          <w:lang w:val="zh-TW" w:eastAsia="zh-TW"/>
        </w:rPr>
        <w:t>O</w:t>
      </w:r>
      <w:r>
        <w:rPr>
          <w:rFonts w:hint="eastAsia" w:ascii="宋体" w:hAnsi="宋体" w:eastAsia="宋体" w:cs="宋体"/>
          <w:b/>
          <w:bCs/>
          <w:sz w:val="32"/>
          <w:szCs w:val="32"/>
        </w:rPr>
        <w:t>二三</w:t>
      </w:r>
      <w:r>
        <w:rPr>
          <w:rFonts w:ascii="宋体" w:hAnsi="宋体" w:eastAsia="宋体" w:cs="宋体"/>
          <w:b/>
          <w:bCs/>
          <w:sz w:val="32"/>
          <w:szCs w:val="32"/>
          <w:lang w:val="zh-TW" w:eastAsia="zh-TW"/>
        </w:rPr>
        <w:t>年</w:t>
      </w:r>
      <w:r>
        <w:rPr>
          <w:rFonts w:hint="eastAsia" w:ascii="宋体" w:hAnsi="宋体" w:eastAsia="宋体" w:cs="宋体"/>
          <w:b/>
          <w:bCs/>
          <w:sz w:val="32"/>
          <w:szCs w:val="32"/>
        </w:rPr>
        <w:t>十</w:t>
      </w:r>
      <w:r>
        <w:rPr>
          <w:rFonts w:ascii="宋体" w:hAnsi="宋体" w:eastAsia="宋体" w:cs="宋体"/>
          <w:b/>
          <w:bCs/>
          <w:sz w:val="32"/>
          <w:szCs w:val="32"/>
          <w:lang w:val="zh-TW" w:eastAsia="zh-TW"/>
        </w:rPr>
        <w:t>月</w:t>
      </w:r>
    </w:p>
    <w:p>
      <w:pPr>
        <w:pStyle w:val="3"/>
        <w:spacing w:line="360" w:lineRule="auto"/>
        <w:jc w:val="center"/>
        <w:rPr>
          <w:rFonts w:eastAsia="PMingLiU"/>
          <w:b/>
          <w:bCs/>
          <w:sz w:val="32"/>
          <w:szCs w:val="32"/>
          <w:lang w:val="zh-TW" w:eastAsia="zh-TW"/>
        </w:rPr>
      </w:pPr>
    </w:p>
    <w:p>
      <w:pPr>
        <w:rPr>
          <w:rFonts w:eastAsiaTheme="minorEastAsia"/>
          <w:sz w:val="36"/>
          <w:szCs w:val="36"/>
        </w:rPr>
        <w:sectPr>
          <w:headerReference r:id="rId7" w:type="first"/>
          <w:footerReference r:id="rId9" w:type="first"/>
          <w:headerReference r:id="rId5" w:type="default"/>
          <w:footerReference r:id="rId8" w:type="default"/>
          <w:headerReference r:id="rId6" w:type="even"/>
          <w:pgSz w:w="11900" w:h="16840"/>
          <w:pgMar w:top="1474" w:right="1701" w:bottom="1418" w:left="1758" w:header="851" w:footer="1134" w:gutter="0"/>
          <w:pgNumType w:start="1"/>
          <w:cols w:space="720" w:num="1"/>
          <w:titlePg/>
          <w:docGrid w:linePitch="326" w:charSpace="0"/>
        </w:sectPr>
      </w:pPr>
    </w:p>
    <w:p>
      <w:pPr>
        <w:pStyle w:val="17"/>
        <w:tabs>
          <w:tab w:val="right" w:leader="dot" w:pos="8431"/>
        </w:tabs>
        <w:jc w:val="center"/>
        <w:rPr>
          <w:b/>
          <w:bCs/>
          <w:u w:val="none"/>
          <w:lang w:val="zh-CN"/>
        </w:rPr>
      </w:pPr>
      <w:r>
        <w:rPr>
          <w:rFonts w:hint="eastAsia"/>
          <w:b/>
          <w:bCs/>
          <w:u w:val="none"/>
          <w:lang w:val="zh-CN"/>
        </w:rPr>
        <w:t>目录</w:t>
      </w:r>
    </w:p>
    <w:sdt>
      <w:sdtPr>
        <w:rPr>
          <w:rFonts w:ascii="宋体" w:hAnsi="宋体" w:eastAsia="Times New Roman"/>
          <w:color w:val="000000"/>
          <w:kern w:val="2"/>
          <w:sz w:val="21"/>
          <w:szCs w:val="21"/>
          <w:u w:val="none"/>
        </w:rPr>
        <w:id w:val="147471879"/>
        <w15:color w:val="DBDBDB"/>
        <w:docPartObj>
          <w:docPartGallery w:val="Table of Contents"/>
          <w:docPartUnique/>
        </w:docPartObj>
      </w:sdtPr>
      <w:sdtEndPr>
        <w:rPr>
          <w:rFonts w:ascii="Times New Roman" w:hAnsi="Times New Roman" w:eastAsiaTheme="minorEastAsia"/>
          <w:color w:val="000000"/>
          <w:kern w:val="2"/>
          <w:sz w:val="21"/>
          <w:szCs w:val="21"/>
          <w:u w:val="none"/>
        </w:rPr>
      </w:sdtEndPr>
      <w:sdtContent>
        <w:p>
          <w:pPr>
            <w:spacing w:line="240" w:lineRule="auto"/>
            <w:ind w:firstLine="0"/>
            <w:jc w:val="center"/>
          </w:pPr>
        </w:p>
        <w:p>
          <w:pPr>
            <w:pStyle w:val="17"/>
            <w:tabs>
              <w:tab w:val="right" w:leader="dot" w:pos="8441"/>
            </w:tabs>
          </w:pPr>
          <w:r>
            <w:rPr>
              <w:rFonts w:eastAsiaTheme="minorEastAsia"/>
            </w:rPr>
            <w:fldChar w:fldCharType="begin"/>
          </w:r>
          <w:r>
            <w:rPr>
              <w:rFonts w:eastAsiaTheme="minorEastAsia"/>
            </w:rPr>
            <w:instrText xml:space="preserve">TOC \o "1-3" \h \u </w:instrText>
          </w:r>
          <w:r>
            <w:rPr>
              <w:rFonts w:eastAsiaTheme="minorEastAsia"/>
            </w:rPr>
            <w:fldChar w:fldCharType="separate"/>
          </w:r>
          <w:r>
            <w:fldChar w:fldCharType="begin"/>
          </w:r>
          <w:r>
            <w:instrText xml:space="preserve"> HYPERLINK \l "_Toc19637" </w:instrText>
          </w:r>
          <w:r>
            <w:fldChar w:fldCharType="separate"/>
          </w:r>
          <w:r>
            <w:rPr>
              <w:rFonts w:cs="宋体" w:asciiTheme="majorEastAsia" w:hAnsiTheme="majorEastAsia" w:eastAsiaTheme="majorEastAsia"/>
              <w:szCs w:val="32"/>
              <w:lang w:val="zh-TW" w:eastAsia="zh-TW"/>
            </w:rPr>
            <w:t>第一章招标</w:t>
          </w:r>
          <w:r>
            <w:rPr>
              <w:rFonts w:hint="eastAsia" w:cs="宋体" w:asciiTheme="majorEastAsia" w:hAnsiTheme="majorEastAsia" w:eastAsiaTheme="majorEastAsia"/>
              <w:szCs w:val="32"/>
            </w:rPr>
            <w:t>公告</w:t>
          </w:r>
          <w:r>
            <w:tab/>
          </w:r>
          <w:r>
            <w:fldChar w:fldCharType="begin"/>
          </w:r>
          <w:r>
            <w:instrText xml:space="preserve"> PAGEREF _Toc19637 \h </w:instrText>
          </w:r>
          <w:r>
            <w:fldChar w:fldCharType="separate"/>
          </w:r>
          <w:r>
            <w:t>1</w:t>
          </w:r>
          <w:r>
            <w:fldChar w:fldCharType="end"/>
          </w:r>
          <w:r>
            <w:fldChar w:fldCharType="end"/>
          </w:r>
        </w:p>
        <w:p>
          <w:pPr>
            <w:pStyle w:val="21"/>
            <w:tabs>
              <w:tab w:val="right" w:leader="dot" w:pos="8441"/>
            </w:tabs>
            <w:ind w:left="480"/>
          </w:pPr>
          <w:r>
            <w:fldChar w:fldCharType="begin"/>
          </w:r>
          <w:r>
            <w:instrText xml:space="preserve"> HYPERLINK \l "_Toc25813" </w:instrText>
          </w:r>
          <w:r>
            <w:fldChar w:fldCharType="separate"/>
          </w:r>
          <w:r>
            <w:rPr>
              <w:rFonts w:hint="eastAsia" w:cs="Arial" w:asciiTheme="majorEastAsia" w:hAnsiTheme="majorEastAsia" w:eastAsiaTheme="majorEastAsia"/>
              <w:bCs/>
              <w:kern w:val="2"/>
              <w:lang w:val="zh-TW"/>
            </w:rPr>
            <w:t>1.</w:t>
          </w:r>
          <w:r>
            <w:rPr>
              <w:rFonts w:hint="eastAsia" w:cs="Arial" w:asciiTheme="majorEastAsia" w:hAnsiTheme="majorEastAsia" w:eastAsiaTheme="majorEastAsia"/>
              <w:bCs/>
              <w:kern w:val="2"/>
            </w:rPr>
            <w:t>1</w:t>
          </w:r>
          <w:r>
            <w:rPr>
              <w:rFonts w:hint="eastAsia" w:cs="Arial" w:asciiTheme="majorEastAsia" w:hAnsiTheme="majorEastAsia" w:eastAsiaTheme="majorEastAsia"/>
              <w:bCs/>
              <w:kern w:val="2"/>
              <w:lang w:val="zh-TW"/>
            </w:rPr>
            <w:t>项目名称</w:t>
          </w:r>
          <w:r>
            <w:tab/>
          </w:r>
          <w:r>
            <w:fldChar w:fldCharType="begin"/>
          </w:r>
          <w:r>
            <w:instrText xml:space="preserve"> PAGEREF _Toc25813 \h </w:instrText>
          </w:r>
          <w:r>
            <w:fldChar w:fldCharType="separate"/>
          </w:r>
          <w:r>
            <w:t>1</w:t>
          </w:r>
          <w:r>
            <w:fldChar w:fldCharType="end"/>
          </w:r>
          <w:r>
            <w:fldChar w:fldCharType="end"/>
          </w:r>
        </w:p>
        <w:p>
          <w:pPr>
            <w:pStyle w:val="21"/>
            <w:tabs>
              <w:tab w:val="right" w:leader="dot" w:pos="8441"/>
            </w:tabs>
            <w:ind w:left="480"/>
          </w:pPr>
          <w:r>
            <w:fldChar w:fldCharType="begin"/>
          </w:r>
          <w:r>
            <w:instrText xml:space="preserve"> HYPERLINK \l "_Toc25726" </w:instrText>
          </w:r>
          <w:r>
            <w:fldChar w:fldCharType="separate"/>
          </w:r>
          <w:r>
            <w:rPr>
              <w:rFonts w:hint="eastAsia" w:ascii="宋体" w:hAnsi="宋体" w:cs="宋体"/>
              <w:bCs/>
            </w:rPr>
            <w:t>1.2服务范围</w:t>
          </w:r>
          <w:r>
            <w:tab/>
          </w:r>
          <w:r>
            <w:fldChar w:fldCharType="begin"/>
          </w:r>
          <w:r>
            <w:instrText xml:space="preserve"> PAGEREF _Toc25726 \h </w:instrText>
          </w:r>
          <w:r>
            <w:fldChar w:fldCharType="separate"/>
          </w:r>
          <w:r>
            <w:t>1</w:t>
          </w:r>
          <w:r>
            <w:fldChar w:fldCharType="end"/>
          </w:r>
          <w:r>
            <w:fldChar w:fldCharType="end"/>
          </w:r>
        </w:p>
        <w:p>
          <w:pPr>
            <w:pStyle w:val="21"/>
            <w:tabs>
              <w:tab w:val="right" w:leader="dot" w:pos="8441"/>
            </w:tabs>
            <w:ind w:left="480"/>
          </w:pPr>
          <w:r>
            <w:fldChar w:fldCharType="begin"/>
          </w:r>
          <w:r>
            <w:instrText xml:space="preserve"> HYPERLINK \l "_Toc25689" </w:instrText>
          </w:r>
          <w:r>
            <w:fldChar w:fldCharType="separate"/>
          </w:r>
          <w:r>
            <w:rPr>
              <w:rFonts w:hint="eastAsia" w:ascii="宋体" w:hAnsi="宋体" w:cs="宋体"/>
              <w:bCs/>
            </w:rPr>
            <w:t>1.3服务内容</w:t>
          </w:r>
          <w:r>
            <w:tab/>
          </w:r>
          <w:r>
            <w:fldChar w:fldCharType="begin"/>
          </w:r>
          <w:r>
            <w:instrText xml:space="preserve"> PAGEREF _Toc25689 \h </w:instrText>
          </w:r>
          <w:r>
            <w:fldChar w:fldCharType="separate"/>
          </w:r>
          <w:r>
            <w:t>1</w:t>
          </w:r>
          <w:r>
            <w:fldChar w:fldCharType="end"/>
          </w:r>
          <w:r>
            <w:fldChar w:fldCharType="end"/>
          </w:r>
        </w:p>
        <w:p>
          <w:pPr>
            <w:pStyle w:val="21"/>
            <w:tabs>
              <w:tab w:val="right" w:leader="dot" w:pos="8441"/>
            </w:tabs>
            <w:ind w:left="480"/>
          </w:pPr>
          <w:r>
            <w:fldChar w:fldCharType="begin"/>
          </w:r>
          <w:r>
            <w:instrText xml:space="preserve"> HYPERLINK \l "_Toc9081" </w:instrText>
          </w:r>
          <w:r>
            <w:fldChar w:fldCharType="separate"/>
          </w:r>
          <w:r>
            <w:rPr>
              <w:rFonts w:hint="eastAsia" w:ascii="宋体" w:hAnsi="宋体" w:cs="宋体"/>
              <w:bCs/>
            </w:rPr>
            <w:t>1.4招标范围</w:t>
          </w:r>
          <w:r>
            <w:tab/>
          </w:r>
          <w:r>
            <w:fldChar w:fldCharType="begin"/>
          </w:r>
          <w:r>
            <w:instrText xml:space="preserve"> PAGEREF _Toc9081 \h </w:instrText>
          </w:r>
          <w:r>
            <w:fldChar w:fldCharType="separate"/>
          </w:r>
          <w:r>
            <w:t>1</w:t>
          </w:r>
          <w:r>
            <w:fldChar w:fldCharType="end"/>
          </w:r>
          <w:r>
            <w:fldChar w:fldCharType="end"/>
          </w:r>
        </w:p>
        <w:p>
          <w:pPr>
            <w:pStyle w:val="21"/>
            <w:tabs>
              <w:tab w:val="right" w:leader="dot" w:pos="8441"/>
            </w:tabs>
            <w:ind w:left="480"/>
          </w:pPr>
          <w:r>
            <w:fldChar w:fldCharType="begin"/>
          </w:r>
          <w:r>
            <w:instrText xml:space="preserve"> HYPERLINK \l "_Toc14453" </w:instrText>
          </w:r>
          <w:r>
            <w:fldChar w:fldCharType="separate"/>
          </w:r>
          <w:r>
            <w:rPr>
              <w:rFonts w:hint="eastAsia" w:ascii="宋体" w:hAnsi="宋体" w:cs="宋体"/>
              <w:bCs/>
            </w:rPr>
            <w:t>1.5应聘机构资格要求</w:t>
          </w:r>
          <w:r>
            <w:tab/>
          </w:r>
          <w:r>
            <w:fldChar w:fldCharType="begin"/>
          </w:r>
          <w:r>
            <w:instrText xml:space="preserve"> PAGEREF _Toc14453 \h </w:instrText>
          </w:r>
          <w:r>
            <w:fldChar w:fldCharType="separate"/>
          </w:r>
          <w:r>
            <w:t>1</w:t>
          </w:r>
          <w:r>
            <w:fldChar w:fldCharType="end"/>
          </w:r>
          <w:r>
            <w:fldChar w:fldCharType="end"/>
          </w:r>
        </w:p>
        <w:p>
          <w:pPr>
            <w:pStyle w:val="21"/>
            <w:tabs>
              <w:tab w:val="right" w:leader="dot" w:pos="8441"/>
            </w:tabs>
            <w:ind w:left="480"/>
          </w:pPr>
          <w:r>
            <w:fldChar w:fldCharType="begin"/>
          </w:r>
          <w:r>
            <w:instrText xml:space="preserve"> HYPERLINK \l "_Toc5911" </w:instrText>
          </w:r>
          <w:r>
            <w:fldChar w:fldCharType="separate"/>
          </w:r>
          <w:r>
            <w:rPr>
              <w:rFonts w:hint="eastAsia" w:ascii="宋体" w:hAnsi="宋体" w:cs="宋体"/>
              <w:bCs/>
            </w:rPr>
            <w:t>1.6报名要求</w:t>
          </w:r>
          <w:r>
            <w:tab/>
          </w:r>
          <w:r>
            <w:fldChar w:fldCharType="begin"/>
          </w:r>
          <w:r>
            <w:instrText xml:space="preserve"> PAGEREF _Toc5911 \h </w:instrText>
          </w:r>
          <w:r>
            <w:fldChar w:fldCharType="separate"/>
          </w:r>
          <w:r>
            <w:t>2</w:t>
          </w:r>
          <w:r>
            <w:fldChar w:fldCharType="end"/>
          </w:r>
          <w:r>
            <w:fldChar w:fldCharType="end"/>
          </w:r>
        </w:p>
        <w:p>
          <w:pPr>
            <w:pStyle w:val="21"/>
            <w:tabs>
              <w:tab w:val="right" w:leader="dot" w:pos="8441"/>
            </w:tabs>
            <w:ind w:left="480"/>
          </w:pPr>
          <w:r>
            <w:fldChar w:fldCharType="begin"/>
          </w:r>
          <w:r>
            <w:instrText xml:space="preserve"> HYPERLINK \l "_Toc9307" </w:instrText>
          </w:r>
          <w:r>
            <w:fldChar w:fldCharType="separate"/>
          </w:r>
          <w:r>
            <w:rPr>
              <w:rFonts w:hint="eastAsia" w:ascii="宋体" w:hAnsi="宋体" w:cs="宋体"/>
              <w:bCs/>
            </w:rPr>
            <w:t>1.7投标文件的递交</w:t>
          </w:r>
          <w:r>
            <w:tab/>
          </w:r>
          <w:r>
            <w:fldChar w:fldCharType="begin"/>
          </w:r>
          <w:r>
            <w:instrText xml:space="preserve"> PAGEREF _Toc9307 \h </w:instrText>
          </w:r>
          <w:r>
            <w:fldChar w:fldCharType="separate"/>
          </w:r>
          <w:r>
            <w:t>3</w:t>
          </w:r>
          <w:r>
            <w:fldChar w:fldCharType="end"/>
          </w:r>
          <w:r>
            <w:fldChar w:fldCharType="end"/>
          </w:r>
        </w:p>
        <w:p>
          <w:pPr>
            <w:pStyle w:val="21"/>
            <w:tabs>
              <w:tab w:val="right" w:leader="dot" w:pos="8441"/>
            </w:tabs>
            <w:ind w:left="480"/>
          </w:pPr>
          <w:r>
            <w:fldChar w:fldCharType="begin"/>
          </w:r>
          <w:r>
            <w:instrText xml:space="preserve"> HYPERLINK \l "_Toc15174" </w:instrText>
          </w:r>
          <w:r>
            <w:fldChar w:fldCharType="separate"/>
          </w:r>
          <w:r>
            <w:rPr>
              <w:rFonts w:hint="eastAsia" w:ascii="宋体" w:hAnsi="宋体" w:cs="宋体"/>
              <w:bCs/>
            </w:rPr>
            <w:t>1.8联系方式</w:t>
          </w:r>
          <w:r>
            <w:tab/>
          </w:r>
          <w:r>
            <w:fldChar w:fldCharType="begin"/>
          </w:r>
          <w:r>
            <w:instrText xml:space="preserve"> PAGEREF _Toc15174 \h </w:instrText>
          </w:r>
          <w:r>
            <w:fldChar w:fldCharType="separate"/>
          </w:r>
          <w:r>
            <w:t>3</w:t>
          </w:r>
          <w:r>
            <w:fldChar w:fldCharType="end"/>
          </w:r>
          <w:r>
            <w:fldChar w:fldCharType="end"/>
          </w:r>
        </w:p>
        <w:p>
          <w:pPr>
            <w:pStyle w:val="17"/>
            <w:tabs>
              <w:tab w:val="right" w:leader="dot" w:pos="8441"/>
            </w:tabs>
          </w:pPr>
          <w:r>
            <w:fldChar w:fldCharType="begin"/>
          </w:r>
          <w:r>
            <w:instrText xml:space="preserve"> HYPERLINK \l "_Toc19412" </w:instrText>
          </w:r>
          <w:r>
            <w:fldChar w:fldCharType="separate"/>
          </w:r>
          <w:r>
            <w:rPr>
              <w:rFonts w:hint="eastAsia" w:cs="宋体" w:asciiTheme="majorEastAsia" w:hAnsiTheme="majorEastAsia" w:eastAsiaTheme="majorEastAsia"/>
              <w:szCs w:val="32"/>
              <w:lang w:val="zh-TW" w:eastAsia="zh-TW"/>
            </w:rPr>
            <w:t>第二章总则</w:t>
          </w:r>
          <w:r>
            <w:tab/>
          </w:r>
          <w:r>
            <w:fldChar w:fldCharType="begin"/>
          </w:r>
          <w:r>
            <w:instrText xml:space="preserve"> PAGEREF _Toc19412 \h </w:instrText>
          </w:r>
          <w:r>
            <w:fldChar w:fldCharType="separate"/>
          </w:r>
          <w:r>
            <w:t>4</w:t>
          </w:r>
          <w:r>
            <w:fldChar w:fldCharType="end"/>
          </w:r>
          <w:r>
            <w:fldChar w:fldCharType="end"/>
          </w:r>
        </w:p>
        <w:p>
          <w:pPr>
            <w:pStyle w:val="17"/>
            <w:tabs>
              <w:tab w:val="right" w:leader="dot" w:pos="8441"/>
            </w:tabs>
          </w:pPr>
          <w:r>
            <w:fldChar w:fldCharType="begin"/>
          </w:r>
          <w:r>
            <w:instrText xml:space="preserve"> HYPERLINK \l "_Toc9707" </w:instrText>
          </w:r>
          <w:r>
            <w:fldChar w:fldCharType="separate"/>
          </w:r>
          <w:r>
            <w:rPr>
              <w:rFonts w:cs="宋体" w:asciiTheme="majorEastAsia" w:hAnsiTheme="majorEastAsia" w:eastAsiaTheme="majorEastAsia"/>
              <w:szCs w:val="32"/>
              <w:lang w:val="zh-TW" w:eastAsia="zh-TW"/>
            </w:rPr>
            <w:t>第三章招标项目范围及要求</w:t>
          </w:r>
          <w:r>
            <w:tab/>
          </w:r>
          <w:r>
            <w:fldChar w:fldCharType="begin"/>
          </w:r>
          <w:r>
            <w:instrText xml:space="preserve"> PAGEREF _Toc9707 \h </w:instrText>
          </w:r>
          <w:r>
            <w:fldChar w:fldCharType="separate"/>
          </w:r>
          <w:r>
            <w:t>5</w:t>
          </w:r>
          <w:r>
            <w:fldChar w:fldCharType="end"/>
          </w:r>
          <w:r>
            <w:fldChar w:fldCharType="end"/>
          </w:r>
        </w:p>
        <w:p>
          <w:pPr>
            <w:pStyle w:val="21"/>
            <w:tabs>
              <w:tab w:val="right" w:leader="dot" w:pos="8441"/>
            </w:tabs>
            <w:ind w:left="480"/>
          </w:pPr>
          <w:r>
            <w:fldChar w:fldCharType="begin"/>
          </w:r>
          <w:r>
            <w:instrText xml:space="preserve"> HYPERLINK \l "_Toc4432" </w:instrText>
          </w:r>
          <w:r>
            <w:fldChar w:fldCharType="separate"/>
          </w:r>
          <w:r>
            <w:rPr>
              <w:rFonts w:hint="eastAsia" w:asciiTheme="majorEastAsia" w:hAnsiTheme="majorEastAsia" w:eastAsiaTheme="majorEastAsia"/>
              <w:lang w:val="zh-TW"/>
            </w:rPr>
            <w:t>3.1</w:t>
          </w:r>
          <w:r>
            <w:rPr>
              <w:rFonts w:hint="eastAsia" w:asciiTheme="majorEastAsia" w:hAnsiTheme="majorEastAsia" w:eastAsiaTheme="majorEastAsia"/>
            </w:rPr>
            <w:t xml:space="preserve"> 项目简介</w:t>
          </w:r>
          <w:r>
            <w:tab/>
          </w:r>
          <w:r>
            <w:fldChar w:fldCharType="begin"/>
          </w:r>
          <w:r>
            <w:instrText xml:space="preserve"> PAGEREF _Toc4432 \h </w:instrText>
          </w:r>
          <w:r>
            <w:fldChar w:fldCharType="separate"/>
          </w:r>
          <w:r>
            <w:t>5</w:t>
          </w:r>
          <w:r>
            <w:fldChar w:fldCharType="end"/>
          </w:r>
          <w:r>
            <w:fldChar w:fldCharType="end"/>
          </w:r>
        </w:p>
        <w:p>
          <w:pPr>
            <w:pStyle w:val="21"/>
            <w:tabs>
              <w:tab w:val="right" w:leader="dot" w:pos="8441"/>
            </w:tabs>
            <w:ind w:left="480"/>
          </w:pPr>
          <w:r>
            <w:fldChar w:fldCharType="begin"/>
          </w:r>
          <w:r>
            <w:instrText xml:space="preserve"> HYPERLINK \l "_Toc19286" </w:instrText>
          </w:r>
          <w:r>
            <w:fldChar w:fldCharType="separate"/>
          </w:r>
          <w:r>
            <w:rPr>
              <w:rFonts w:hint="eastAsia" w:asciiTheme="majorEastAsia" w:hAnsiTheme="majorEastAsia" w:eastAsiaTheme="majorEastAsia"/>
              <w:bCs/>
            </w:rPr>
            <w:t>3.2投标人资格条件</w:t>
          </w:r>
          <w:r>
            <w:tab/>
          </w:r>
          <w:r>
            <w:fldChar w:fldCharType="begin"/>
          </w:r>
          <w:r>
            <w:instrText xml:space="preserve"> PAGEREF _Toc19286 \h </w:instrText>
          </w:r>
          <w:r>
            <w:fldChar w:fldCharType="separate"/>
          </w:r>
          <w:r>
            <w:t>5</w:t>
          </w:r>
          <w:r>
            <w:fldChar w:fldCharType="end"/>
          </w:r>
          <w:r>
            <w:fldChar w:fldCharType="end"/>
          </w:r>
        </w:p>
        <w:p>
          <w:pPr>
            <w:pStyle w:val="21"/>
            <w:tabs>
              <w:tab w:val="right" w:leader="dot" w:pos="8441"/>
            </w:tabs>
            <w:ind w:left="480"/>
          </w:pPr>
          <w:r>
            <w:fldChar w:fldCharType="begin"/>
          </w:r>
          <w:r>
            <w:instrText xml:space="preserve"> HYPERLINK \l "_Toc11537" </w:instrText>
          </w:r>
          <w:r>
            <w:fldChar w:fldCharType="separate"/>
          </w:r>
          <w:r>
            <w:rPr>
              <w:rFonts w:hint="eastAsia" w:ascii="宋体" w:hAnsi="宋体" w:cs="宋体"/>
              <w:bCs/>
            </w:rPr>
            <w:t>3.3投标方义务</w:t>
          </w:r>
          <w:r>
            <w:tab/>
          </w:r>
          <w:r>
            <w:fldChar w:fldCharType="begin"/>
          </w:r>
          <w:r>
            <w:instrText xml:space="preserve"> PAGEREF _Toc11537 \h </w:instrText>
          </w:r>
          <w:r>
            <w:fldChar w:fldCharType="separate"/>
          </w:r>
          <w:r>
            <w:t>6</w:t>
          </w:r>
          <w:r>
            <w:fldChar w:fldCharType="end"/>
          </w:r>
          <w:r>
            <w:fldChar w:fldCharType="end"/>
          </w:r>
        </w:p>
        <w:p>
          <w:pPr>
            <w:pStyle w:val="21"/>
            <w:tabs>
              <w:tab w:val="right" w:leader="dot" w:pos="8441"/>
            </w:tabs>
            <w:ind w:left="480"/>
          </w:pPr>
          <w:r>
            <w:fldChar w:fldCharType="begin"/>
          </w:r>
          <w:r>
            <w:instrText xml:space="preserve"> HYPERLINK \l "_Toc2856" </w:instrText>
          </w:r>
          <w:r>
            <w:fldChar w:fldCharType="separate"/>
          </w:r>
          <w:r>
            <w:rPr>
              <w:rFonts w:hint="eastAsia" w:ascii="宋体" w:hAnsi="宋体" w:cs="宋体"/>
              <w:bCs/>
            </w:rPr>
            <w:t>3.4费用承担</w:t>
          </w:r>
          <w:r>
            <w:tab/>
          </w:r>
          <w:r>
            <w:fldChar w:fldCharType="begin"/>
          </w:r>
          <w:r>
            <w:instrText xml:space="preserve"> PAGEREF _Toc2856 \h </w:instrText>
          </w:r>
          <w:r>
            <w:fldChar w:fldCharType="separate"/>
          </w:r>
          <w:r>
            <w:t>7</w:t>
          </w:r>
          <w:r>
            <w:fldChar w:fldCharType="end"/>
          </w:r>
          <w:r>
            <w:fldChar w:fldCharType="end"/>
          </w:r>
        </w:p>
        <w:p>
          <w:pPr>
            <w:pStyle w:val="21"/>
            <w:tabs>
              <w:tab w:val="right" w:leader="dot" w:pos="8441"/>
            </w:tabs>
            <w:ind w:left="480"/>
          </w:pPr>
          <w:r>
            <w:fldChar w:fldCharType="begin"/>
          </w:r>
          <w:r>
            <w:instrText xml:space="preserve"> HYPERLINK \l "_Toc3832" </w:instrText>
          </w:r>
          <w:r>
            <w:fldChar w:fldCharType="separate"/>
          </w:r>
          <w:r>
            <w:rPr>
              <w:rFonts w:hint="eastAsia" w:ascii="宋体" w:hAnsi="宋体" w:cs="宋体"/>
              <w:bCs/>
            </w:rPr>
            <w:t>3.5保密</w:t>
          </w:r>
          <w:r>
            <w:tab/>
          </w:r>
          <w:r>
            <w:fldChar w:fldCharType="begin"/>
          </w:r>
          <w:r>
            <w:instrText xml:space="preserve"> PAGEREF _Toc3832 \h </w:instrText>
          </w:r>
          <w:r>
            <w:fldChar w:fldCharType="separate"/>
          </w:r>
          <w:r>
            <w:t>7</w:t>
          </w:r>
          <w:r>
            <w:fldChar w:fldCharType="end"/>
          </w:r>
          <w:r>
            <w:fldChar w:fldCharType="end"/>
          </w:r>
        </w:p>
        <w:p>
          <w:pPr>
            <w:pStyle w:val="21"/>
            <w:tabs>
              <w:tab w:val="right" w:leader="dot" w:pos="8441"/>
            </w:tabs>
            <w:ind w:left="480"/>
          </w:pPr>
          <w:r>
            <w:fldChar w:fldCharType="begin"/>
          </w:r>
          <w:r>
            <w:instrText xml:space="preserve"> HYPERLINK \l "_Toc29053" </w:instrText>
          </w:r>
          <w:r>
            <w:fldChar w:fldCharType="separate"/>
          </w:r>
          <w:r>
            <w:rPr>
              <w:rFonts w:hint="eastAsia" w:ascii="宋体" w:hAnsi="宋体" w:cs="宋体"/>
              <w:bCs/>
            </w:rPr>
            <w:t>3.6语言文字</w:t>
          </w:r>
          <w:r>
            <w:tab/>
          </w:r>
          <w:r>
            <w:fldChar w:fldCharType="begin"/>
          </w:r>
          <w:r>
            <w:instrText xml:space="preserve"> PAGEREF _Toc29053 \h </w:instrText>
          </w:r>
          <w:r>
            <w:fldChar w:fldCharType="separate"/>
          </w:r>
          <w:r>
            <w:t>7</w:t>
          </w:r>
          <w:r>
            <w:fldChar w:fldCharType="end"/>
          </w:r>
          <w:r>
            <w:fldChar w:fldCharType="end"/>
          </w:r>
        </w:p>
        <w:p>
          <w:pPr>
            <w:pStyle w:val="21"/>
            <w:tabs>
              <w:tab w:val="right" w:leader="dot" w:pos="8441"/>
            </w:tabs>
            <w:ind w:left="480"/>
          </w:pPr>
          <w:r>
            <w:fldChar w:fldCharType="begin"/>
          </w:r>
          <w:r>
            <w:instrText xml:space="preserve"> HYPERLINK \l "_Toc26500" </w:instrText>
          </w:r>
          <w:r>
            <w:fldChar w:fldCharType="separate"/>
          </w:r>
          <w:r>
            <w:rPr>
              <w:rFonts w:hint="eastAsia" w:ascii="宋体" w:hAnsi="宋体" w:cs="宋体"/>
              <w:bCs/>
            </w:rPr>
            <w:t>3.7计量单位</w:t>
          </w:r>
          <w:r>
            <w:tab/>
          </w:r>
          <w:r>
            <w:fldChar w:fldCharType="begin"/>
          </w:r>
          <w:r>
            <w:instrText xml:space="preserve"> PAGEREF _Toc26500 \h </w:instrText>
          </w:r>
          <w:r>
            <w:fldChar w:fldCharType="separate"/>
          </w:r>
          <w:r>
            <w:t>7</w:t>
          </w:r>
          <w:r>
            <w:fldChar w:fldCharType="end"/>
          </w:r>
          <w:r>
            <w:fldChar w:fldCharType="end"/>
          </w:r>
        </w:p>
        <w:p>
          <w:pPr>
            <w:pStyle w:val="10"/>
            <w:tabs>
              <w:tab w:val="right" w:leader="dot" w:pos="8441"/>
            </w:tabs>
            <w:ind w:left="0" w:leftChars="0" w:firstLine="960" w:firstLineChars="400"/>
          </w:pPr>
          <w:r>
            <w:fldChar w:fldCharType="begin"/>
          </w:r>
          <w:r>
            <w:instrText xml:space="preserve"> HYPERLINK \l "_Toc13915" </w:instrText>
          </w:r>
          <w:r>
            <w:fldChar w:fldCharType="separate"/>
          </w:r>
          <w:r>
            <w:rPr>
              <w:rFonts w:hint="eastAsia" w:ascii="宋体" w:hAnsi="宋体" w:eastAsia="宋体" w:cs="宋体"/>
              <w:kern w:val="2"/>
            </w:rPr>
            <w:t>3.8响应</w:t>
          </w:r>
          <w:r>
            <w:tab/>
          </w:r>
          <w:r>
            <w:fldChar w:fldCharType="begin"/>
          </w:r>
          <w:r>
            <w:instrText xml:space="preserve"> PAGEREF _Toc13915 \h </w:instrText>
          </w:r>
          <w:r>
            <w:fldChar w:fldCharType="separate"/>
          </w:r>
          <w:r>
            <w:t>7</w:t>
          </w:r>
          <w:r>
            <w:fldChar w:fldCharType="end"/>
          </w:r>
          <w:r>
            <w:fldChar w:fldCharType="end"/>
          </w:r>
        </w:p>
        <w:p>
          <w:pPr>
            <w:pStyle w:val="17"/>
            <w:tabs>
              <w:tab w:val="right" w:leader="dot" w:pos="8441"/>
            </w:tabs>
          </w:pPr>
          <w:r>
            <w:fldChar w:fldCharType="begin"/>
          </w:r>
          <w:r>
            <w:instrText xml:space="preserve"> HYPERLINK \l "_Toc23042" </w:instrText>
          </w:r>
          <w:r>
            <w:fldChar w:fldCharType="separate"/>
          </w:r>
          <w:r>
            <w:rPr>
              <w:rFonts w:hint="eastAsia" w:cs="宋体" w:asciiTheme="majorEastAsia" w:hAnsiTheme="majorEastAsia" w:eastAsiaTheme="majorEastAsia"/>
              <w:szCs w:val="32"/>
              <w:lang w:val="zh-TW" w:eastAsia="zh-TW"/>
            </w:rPr>
            <w:t>第四章  投标须知</w:t>
          </w:r>
          <w:r>
            <w:tab/>
          </w:r>
          <w:r>
            <w:fldChar w:fldCharType="begin"/>
          </w:r>
          <w:r>
            <w:instrText xml:space="preserve"> PAGEREF _Toc23042 \h </w:instrText>
          </w:r>
          <w:r>
            <w:fldChar w:fldCharType="separate"/>
          </w:r>
          <w:r>
            <w:t>9</w:t>
          </w:r>
          <w:r>
            <w:fldChar w:fldCharType="end"/>
          </w:r>
          <w:r>
            <w:fldChar w:fldCharType="end"/>
          </w:r>
        </w:p>
        <w:p>
          <w:pPr>
            <w:pStyle w:val="21"/>
            <w:tabs>
              <w:tab w:val="right" w:leader="dot" w:pos="8441"/>
            </w:tabs>
            <w:ind w:left="480"/>
          </w:pPr>
          <w:r>
            <w:fldChar w:fldCharType="begin"/>
          </w:r>
          <w:r>
            <w:instrText xml:space="preserve"> HYPERLINK \l "_Toc5562" </w:instrText>
          </w:r>
          <w:r>
            <w:fldChar w:fldCharType="separate"/>
          </w:r>
          <w:r>
            <w:rPr>
              <w:lang w:val="zh-TW"/>
            </w:rPr>
            <w:t>4.</w:t>
          </w:r>
          <w:r>
            <w:rPr>
              <w:rFonts w:hint="eastAsia"/>
              <w:lang w:val="zh-TW"/>
            </w:rPr>
            <w:t>1</w:t>
          </w:r>
          <w:r>
            <w:rPr>
              <w:lang w:val="zh-TW"/>
            </w:rPr>
            <w:t>投标文件的编制</w:t>
          </w:r>
          <w:r>
            <w:tab/>
          </w:r>
          <w:r>
            <w:fldChar w:fldCharType="begin"/>
          </w:r>
          <w:r>
            <w:instrText xml:space="preserve"> PAGEREF _Toc5562 \h </w:instrText>
          </w:r>
          <w:r>
            <w:fldChar w:fldCharType="separate"/>
          </w:r>
          <w:r>
            <w:t>9</w:t>
          </w:r>
          <w:r>
            <w:fldChar w:fldCharType="end"/>
          </w:r>
          <w:r>
            <w:fldChar w:fldCharType="end"/>
          </w:r>
        </w:p>
        <w:p>
          <w:pPr>
            <w:pStyle w:val="21"/>
            <w:tabs>
              <w:tab w:val="right" w:leader="dot" w:pos="8441"/>
            </w:tabs>
            <w:ind w:left="480"/>
          </w:pPr>
          <w:r>
            <w:fldChar w:fldCharType="begin"/>
          </w:r>
          <w:r>
            <w:instrText xml:space="preserve"> HYPERLINK \l "_Toc10494" </w:instrText>
          </w:r>
          <w:r>
            <w:fldChar w:fldCharType="separate"/>
          </w:r>
          <w:r>
            <w:rPr>
              <w:lang w:val="zh-TW"/>
            </w:rPr>
            <w:t>4.</w:t>
          </w:r>
          <w:r>
            <w:rPr>
              <w:rFonts w:hint="eastAsia"/>
              <w:lang w:val="zh-TW"/>
            </w:rPr>
            <w:t>2</w:t>
          </w:r>
          <w:r>
            <w:rPr>
              <w:lang w:val="zh-TW"/>
            </w:rPr>
            <w:t>投标保证金</w:t>
          </w:r>
          <w:r>
            <w:tab/>
          </w:r>
          <w:r>
            <w:fldChar w:fldCharType="begin"/>
          </w:r>
          <w:r>
            <w:instrText xml:space="preserve"> PAGEREF _Toc10494 \h </w:instrText>
          </w:r>
          <w:r>
            <w:fldChar w:fldCharType="separate"/>
          </w:r>
          <w:r>
            <w:t>10</w:t>
          </w:r>
          <w:r>
            <w:fldChar w:fldCharType="end"/>
          </w:r>
          <w:r>
            <w:fldChar w:fldCharType="end"/>
          </w:r>
        </w:p>
        <w:p>
          <w:pPr>
            <w:pStyle w:val="21"/>
            <w:tabs>
              <w:tab w:val="right" w:leader="dot" w:pos="8441"/>
            </w:tabs>
            <w:ind w:left="480"/>
          </w:pPr>
          <w:r>
            <w:fldChar w:fldCharType="begin"/>
          </w:r>
          <w:r>
            <w:instrText xml:space="preserve"> HYPERLINK \l "_Toc11419" </w:instrText>
          </w:r>
          <w:r>
            <w:fldChar w:fldCharType="separate"/>
          </w:r>
          <w:r>
            <w:rPr>
              <w:lang w:val="zh-TW"/>
            </w:rPr>
            <w:t>4.</w:t>
          </w:r>
          <w:r>
            <w:rPr>
              <w:rFonts w:hint="eastAsia"/>
              <w:lang w:val="zh-TW"/>
            </w:rPr>
            <w:t>3</w:t>
          </w:r>
          <w:r>
            <w:rPr>
              <w:lang w:val="zh-TW"/>
            </w:rPr>
            <w:t>投标文件的递交</w:t>
          </w:r>
          <w:r>
            <w:tab/>
          </w:r>
          <w:r>
            <w:fldChar w:fldCharType="begin"/>
          </w:r>
          <w:r>
            <w:instrText xml:space="preserve"> PAGEREF _Toc11419 \h </w:instrText>
          </w:r>
          <w:r>
            <w:fldChar w:fldCharType="separate"/>
          </w:r>
          <w:r>
            <w:t>10</w:t>
          </w:r>
          <w:r>
            <w:fldChar w:fldCharType="end"/>
          </w:r>
          <w:r>
            <w:fldChar w:fldCharType="end"/>
          </w:r>
        </w:p>
        <w:p>
          <w:pPr>
            <w:pStyle w:val="21"/>
            <w:tabs>
              <w:tab w:val="right" w:leader="dot" w:pos="8441"/>
            </w:tabs>
            <w:ind w:left="480"/>
          </w:pPr>
          <w:r>
            <w:fldChar w:fldCharType="begin"/>
          </w:r>
          <w:r>
            <w:instrText xml:space="preserve"> HYPERLINK \l "_Toc30580" </w:instrText>
          </w:r>
          <w:r>
            <w:fldChar w:fldCharType="separate"/>
          </w:r>
          <w:r>
            <w:rPr>
              <w:lang w:val="zh-TW"/>
            </w:rPr>
            <w:t>4.</w:t>
          </w:r>
          <w:r>
            <w:rPr>
              <w:rFonts w:hint="eastAsia"/>
              <w:lang w:val="zh-TW"/>
            </w:rPr>
            <w:t>4</w:t>
          </w:r>
          <w:r>
            <w:rPr>
              <w:lang w:val="zh-TW"/>
            </w:rPr>
            <w:t>投标费用</w:t>
          </w:r>
          <w:r>
            <w:tab/>
          </w:r>
          <w:r>
            <w:fldChar w:fldCharType="begin"/>
          </w:r>
          <w:r>
            <w:instrText xml:space="preserve"> PAGEREF _Toc30580 \h </w:instrText>
          </w:r>
          <w:r>
            <w:fldChar w:fldCharType="separate"/>
          </w:r>
          <w:r>
            <w:t>11</w:t>
          </w:r>
          <w:r>
            <w:fldChar w:fldCharType="end"/>
          </w:r>
          <w:r>
            <w:fldChar w:fldCharType="end"/>
          </w:r>
        </w:p>
        <w:p>
          <w:pPr>
            <w:pStyle w:val="21"/>
            <w:tabs>
              <w:tab w:val="right" w:leader="dot" w:pos="8441"/>
            </w:tabs>
            <w:ind w:left="480"/>
          </w:pPr>
          <w:r>
            <w:fldChar w:fldCharType="begin"/>
          </w:r>
          <w:r>
            <w:instrText xml:space="preserve"> HYPERLINK \l "_Toc11276" </w:instrText>
          </w:r>
          <w:r>
            <w:fldChar w:fldCharType="separate"/>
          </w:r>
          <w:r>
            <w:rPr>
              <w:rFonts w:hint="eastAsia" w:asciiTheme="majorEastAsia" w:hAnsiTheme="majorEastAsia" w:eastAsiaTheme="majorEastAsia"/>
              <w:bCs/>
              <w:kern w:val="44"/>
            </w:rPr>
            <w:t>4.5评标与开标</w:t>
          </w:r>
          <w:r>
            <w:tab/>
          </w:r>
          <w:r>
            <w:fldChar w:fldCharType="begin"/>
          </w:r>
          <w:r>
            <w:instrText xml:space="preserve"> PAGEREF _Toc11276 \h </w:instrText>
          </w:r>
          <w:r>
            <w:fldChar w:fldCharType="separate"/>
          </w:r>
          <w:r>
            <w:t>11</w:t>
          </w:r>
          <w:r>
            <w:fldChar w:fldCharType="end"/>
          </w:r>
          <w:r>
            <w:fldChar w:fldCharType="end"/>
          </w:r>
        </w:p>
        <w:p>
          <w:pPr>
            <w:pStyle w:val="17"/>
            <w:tabs>
              <w:tab w:val="right" w:leader="dot" w:pos="8441"/>
            </w:tabs>
          </w:pPr>
          <w:r>
            <w:fldChar w:fldCharType="begin"/>
          </w:r>
          <w:r>
            <w:instrText xml:space="preserve"> HYPERLINK \l "_Toc19538" </w:instrText>
          </w:r>
          <w:r>
            <w:fldChar w:fldCharType="separate"/>
          </w:r>
          <w:r>
            <w:rPr>
              <w:rFonts w:cs="宋体" w:asciiTheme="majorEastAsia" w:hAnsiTheme="majorEastAsia" w:eastAsiaTheme="majorEastAsia"/>
              <w:szCs w:val="32"/>
              <w:lang w:val="zh-TW" w:eastAsia="zh-TW"/>
            </w:rPr>
            <w:t>第</w:t>
          </w:r>
          <w:r>
            <w:rPr>
              <w:rFonts w:hint="eastAsia" w:cs="宋体" w:asciiTheme="majorEastAsia" w:hAnsiTheme="majorEastAsia" w:eastAsiaTheme="majorEastAsia"/>
              <w:szCs w:val="32"/>
            </w:rPr>
            <w:t>五</w:t>
          </w:r>
          <w:r>
            <w:rPr>
              <w:rFonts w:cs="宋体" w:asciiTheme="majorEastAsia" w:hAnsiTheme="majorEastAsia" w:eastAsiaTheme="majorEastAsia"/>
              <w:szCs w:val="32"/>
              <w:lang w:val="zh-TW" w:eastAsia="zh-TW"/>
            </w:rPr>
            <w:t>章投标文件格式</w:t>
          </w:r>
          <w:r>
            <w:tab/>
          </w:r>
          <w:r>
            <w:fldChar w:fldCharType="begin"/>
          </w:r>
          <w:r>
            <w:instrText xml:space="preserve"> PAGEREF _Toc19538 \h </w:instrText>
          </w:r>
          <w:r>
            <w:fldChar w:fldCharType="separate"/>
          </w:r>
          <w:r>
            <w:t>12</w:t>
          </w:r>
          <w:r>
            <w:fldChar w:fldCharType="end"/>
          </w:r>
          <w:r>
            <w:fldChar w:fldCharType="end"/>
          </w:r>
        </w:p>
        <w:p>
          <w:pPr>
            <w:pStyle w:val="21"/>
            <w:tabs>
              <w:tab w:val="right" w:leader="dot" w:pos="8441"/>
            </w:tabs>
            <w:ind w:left="480"/>
          </w:pPr>
          <w:r>
            <w:fldChar w:fldCharType="begin"/>
          </w:r>
          <w:r>
            <w:instrText xml:space="preserve"> HYPERLINK \l "_Toc30980" </w:instrText>
          </w:r>
          <w:r>
            <w:fldChar w:fldCharType="separate"/>
          </w:r>
          <w:r>
            <w:t>目  录</w:t>
          </w:r>
          <w:r>
            <w:tab/>
          </w:r>
          <w:r>
            <w:fldChar w:fldCharType="begin"/>
          </w:r>
          <w:r>
            <w:instrText xml:space="preserve"> PAGEREF _Toc30980 \h </w:instrText>
          </w:r>
          <w:r>
            <w:fldChar w:fldCharType="separate"/>
          </w:r>
          <w:r>
            <w:t>13</w:t>
          </w:r>
          <w:r>
            <w:fldChar w:fldCharType="end"/>
          </w:r>
          <w:r>
            <w:fldChar w:fldCharType="end"/>
          </w:r>
        </w:p>
        <w:p>
          <w:pPr>
            <w:pStyle w:val="21"/>
            <w:tabs>
              <w:tab w:val="right" w:leader="dot" w:pos="8441"/>
            </w:tabs>
            <w:ind w:left="480"/>
          </w:pPr>
          <w:r>
            <w:fldChar w:fldCharType="begin"/>
          </w:r>
          <w:r>
            <w:instrText xml:space="preserve"> HYPERLINK \l "_Toc13132" </w:instrText>
          </w:r>
          <w:r>
            <w:fldChar w:fldCharType="separate"/>
          </w:r>
          <w:r>
            <w:rPr>
              <w:rFonts w:hint="eastAsia"/>
            </w:rPr>
            <w:t>5</w:t>
          </w:r>
          <w:r>
            <w:rPr>
              <w:lang w:val="zh-TW"/>
            </w:rPr>
            <w:t>.1投标函格式</w:t>
          </w:r>
          <w:r>
            <w:tab/>
          </w:r>
          <w:r>
            <w:fldChar w:fldCharType="begin"/>
          </w:r>
          <w:r>
            <w:instrText xml:space="preserve"> PAGEREF _Toc13132 \h </w:instrText>
          </w:r>
          <w:r>
            <w:fldChar w:fldCharType="separate"/>
          </w:r>
          <w:r>
            <w:t>14</w:t>
          </w:r>
          <w:r>
            <w:fldChar w:fldCharType="end"/>
          </w:r>
          <w:r>
            <w:fldChar w:fldCharType="end"/>
          </w:r>
        </w:p>
        <w:p>
          <w:pPr>
            <w:pStyle w:val="21"/>
            <w:tabs>
              <w:tab w:val="right" w:leader="dot" w:pos="8441"/>
            </w:tabs>
            <w:ind w:left="480"/>
          </w:pPr>
          <w:r>
            <w:fldChar w:fldCharType="begin"/>
          </w:r>
          <w:r>
            <w:instrText xml:space="preserve"> HYPERLINK \l "_Toc18566" </w:instrText>
          </w:r>
          <w:r>
            <w:fldChar w:fldCharType="separate"/>
          </w:r>
          <w:r>
            <w:rPr>
              <w:rFonts w:hint="eastAsia"/>
            </w:rPr>
            <w:t>5</w:t>
          </w:r>
          <w:r>
            <w:rPr>
              <w:lang w:val="zh-TW"/>
            </w:rPr>
            <w:t>.2法定代表人授权书格式</w:t>
          </w:r>
          <w:r>
            <w:tab/>
          </w:r>
          <w:r>
            <w:fldChar w:fldCharType="begin"/>
          </w:r>
          <w:r>
            <w:instrText xml:space="preserve"> PAGEREF _Toc18566 \h </w:instrText>
          </w:r>
          <w:r>
            <w:fldChar w:fldCharType="separate"/>
          </w:r>
          <w:r>
            <w:t>15</w:t>
          </w:r>
          <w:r>
            <w:fldChar w:fldCharType="end"/>
          </w:r>
          <w:r>
            <w:fldChar w:fldCharType="end"/>
          </w:r>
        </w:p>
        <w:p>
          <w:pPr>
            <w:pStyle w:val="21"/>
            <w:tabs>
              <w:tab w:val="right" w:leader="dot" w:pos="8441"/>
            </w:tabs>
            <w:ind w:left="480"/>
          </w:pPr>
          <w:r>
            <w:fldChar w:fldCharType="begin"/>
          </w:r>
          <w:r>
            <w:instrText xml:space="preserve"> HYPERLINK \l "_Toc27924" </w:instrText>
          </w:r>
          <w:r>
            <w:fldChar w:fldCharType="separate"/>
          </w:r>
          <w:r>
            <w:rPr>
              <w:rFonts w:hint="eastAsia"/>
            </w:rPr>
            <w:t>5</w:t>
          </w:r>
          <w:r>
            <w:rPr>
              <w:lang w:val="zh-TW"/>
            </w:rPr>
            <w:t>.3</w:t>
          </w:r>
          <w:r>
            <w:rPr>
              <w:rFonts w:hint="eastAsia"/>
              <w:lang w:val="zh-TW"/>
            </w:rPr>
            <w:t>资产评估机构入库申请表</w:t>
          </w:r>
          <w:r>
            <w:tab/>
          </w:r>
          <w:r>
            <w:fldChar w:fldCharType="begin"/>
          </w:r>
          <w:r>
            <w:instrText xml:space="preserve"> PAGEREF _Toc27924 \h </w:instrText>
          </w:r>
          <w:r>
            <w:fldChar w:fldCharType="separate"/>
          </w:r>
          <w:r>
            <w:t>16</w:t>
          </w:r>
          <w:r>
            <w:fldChar w:fldCharType="end"/>
          </w:r>
          <w:r>
            <w:fldChar w:fldCharType="end"/>
          </w:r>
        </w:p>
        <w:p>
          <w:pPr>
            <w:pStyle w:val="21"/>
            <w:tabs>
              <w:tab w:val="right" w:leader="dot" w:pos="8441"/>
            </w:tabs>
            <w:ind w:left="480"/>
          </w:pPr>
          <w:r>
            <w:fldChar w:fldCharType="begin"/>
          </w:r>
          <w:r>
            <w:instrText xml:space="preserve"> HYPERLINK \l "_Toc360" </w:instrText>
          </w:r>
          <w:r>
            <w:fldChar w:fldCharType="separate"/>
          </w:r>
          <w:r>
            <w:rPr>
              <w:rFonts w:hint="eastAsia"/>
            </w:rPr>
            <w:t>5</w:t>
          </w:r>
          <w:r>
            <w:rPr>
              <w:lang w:val="zh-TW"/>
            </w:rPr>
            <w:t>.</w:t>
          </w:r>
          <w:r>
            <w:rPr>
              <w:rFonts w:hint="eastAsia"/>
            </w:rPr>
            <w:t>4</w:t>
          </w:r>
          <w:r>
            <w:rPr>
              <w:lang w:val="zh-TW"/>
            </w:rPr>
            <w:t>资质证明文件格式</w:t>
          </w:r>
          <w:r>
            <w:tab/>
          </w:r>
          <w:r>
            <w:fldChar w:fldCharType="begin"/>
          </w:r>
          <w:r>
            <w:instrText xml:space="preserve"> PAGEREF _Toc360 \h </w:instrText>
          </w:r>
          <w:r>
            <w:fldChar w:fldCharType="separate"/>
          </w:r>
          <w:r>
            <w:t>18</w:t>
          </w:r>
          <w:r>
            <w:fldChar w:fldCharType="end"/>
          </w:r>
          <w:r>
            <w:fldChar w:fldCharType="end"/>
          </w:r>
        </w:p>
        <w:p>
          <w:pPr>
            <w:pStyle w:val="21"/>
            <w:tabs>
              <w:tab w:val="right" w:leader="dot" w:pos="8441"/>
            </w:tabs>
            <w:ind w:left="480"/>
          </w:pPr>
          <w:r>
            <w:fldChar w:fldCharType="begin"/>
          </w:r>
          <w:r>
            <w:instrText xml:space="preserve"> HYPERLINK \l "_Toc29287" </w:instrText>
          </w:r>
          <w:r>
            <w:fldChar w:fldCharType="separate"/>
          </w:r>
          <w:r>
            <w:rPr>
              <w:rFonts w:hint="eastAsia"/>
            </w:rPr>
            <w:t>5.5</w:t>
          </w:r>
          <w:r>
            <w:rPr>
              <w:rFonts w:hint="eastAsia" w:ascii="宋体" w:hAnsi="宋体" w:cs="宋体"/>
            </w:rPr>
            <w:t>公司情况简介</w:t>
          </w:r>
          <w:r>
            <w:tab/>
          </w:r>
          <w:r>
            <w:fldChar w:fldCharType="begin"/>
          </w:r>
          <w:r>
            <w:instrText xml:space="preserve"> PAGEREF _Toc29287 \h </w:instrText>
          </w:r>
          <w:r>
            <w:fldChar w:fldCharType="separate"/>
          </w:r>
          <w:r>
            <w:t>19</w:t>
          </w:r>
          <w:r>
            <w:fldChar w:fldCharType="end"/>
          </w:r>
          <w:r>
            <w:fldChar w:fldCharType="end"/>
          </w:r>
        </w:p>
        <w:p>
          <w:pPr>
            <w:pStyle w:val="21"/>
            <w:tabs>
              <w:tab w:val="right" w:leader="dot" w:pos="8441"/>
            </w:tabs>
            <w:ind w:left="480"/>
          </w:pPr>
          <w:r>
            <w:fldChar w:fldCharType="begin"/>
          </w:r>
          <w:r>
            <w:instrText xml:space="preserve"> HYPERLINK \l "_Toc14758" </w:instrText>
          </w:r>
          <w:r>
            <w:fldChar w:fldCharType="separate"/>
          </w:r>
          <w:r>
            <w:rPr>
              <w:rFonts w:hint="eastAsia"/>
            </w:rPr>
            <w:t>5.6</w:t>
          </w:r>
          <w:r>
            <w:rPr>
              <w:rFonts w:hint="eastAsia" w:ascii="宋体" w:hAnsi="宋体" w:cs="宋体"/>
            </w:rPr>
            <w:t>无违法违规事项承诺书</w:t>
          </w:r>
          <w:r>
            <w:tab/>
          </w:r>
          <w:r>
            <w:fldChar w:fldCharType="begin"/>
          </w:r>
          <w:r>
            <w:instrText xml:space="preserve"> PAGEREF _Toc14758 \h </w:instrText>
          </w:r>
          <w:r>
            <w:fldChar w:fldCharType="separate"/>
          </w:r>
          <w:r>
            <w:t>22</w:t>
          </w:r>
          <w:r>
            <w:fldChar w:fldCharType="end"/>
          </w:r>
          <w:r>
            <w:fldChar w:fldCharType="end"/>
          </w:r>
        </w:p>
        <w:p>
          <w:pPr>
            <w:pStyle w:val="21"/>
            <w:tabs>
              <w:tab w:val="right" w:leader="dot" w:pos="8441"/>
            </w:tabs>
            <w:ind w:left="480"/>
          </w:pPr>
          <w:r>
            <w:fldChar w:fldCharType="begin"/>
          </w:r>
          <w:r>
            <w:instrText xml:space="preserve"> HYPERLINK \l "_Toc26784" </w:instrText>
          </w:r>
          <w:r>
            <w:fldChar w:fldCharType="separate"/>
          </w:r>
          <w:r>
            <w:rPr>
              <w:rFonts w:hint="eastAsia"/>
            </w:rPr>
            <w:t>5</w:t>
          </w:r>
          <w:r>
            <w:rPr>
              <w:lang w:val="zh-TW"/>
            </w:rPr>
            <w:t>.</w:t>
          </w:r>
          <w:r>
            <w:rPr>
              <w:rFonts w:hint="eastAsia"/>
            </w:rPr>
            <w:t>7</w:t>
          </w:r>
          <w:r>
            <w:rPr>
              <w:lang w:val="zh-TW"/>
            </w:rPr>
            <w:t>实施项目的方案及</w:t>
          </w:r>
          <w:r>
            <w:rPr>
              <w:rFonts w:hint="eastAsia"/>
            </w:rPr>
            <w:t>承诺</w:t>
          </w:r>
          <w:r>
            <w:rPr>
              <w:lang w:val="zh-TW"/>
            </w:rPr>
            <w:t>格式</w:t>
          </w:r>
          <w:r>
            <w:tab/>
          </w:r>
          <w:r>
            <w:fldChar w:fldCharType="begin"/>
          </w:r>
          <w:r>
            <w:instrText xml:space="preserve"> PAGEREF _Toc26784 \h </w:instrText>
          </w:r>
          <w:r>
            <w:fldChar w:fldCharType="separate"/>
          </w:r>
          <w:r>
            <w:t>23</w:t>
          </w:r>
          <w:r>
            <w:fldChar w:fldCharType="end"/>
          </w:r>
          <w:r>
            <w:fldChar w:fldCharType="end"/>
          </w:r>
        </w:p>
        <w:p>
          <w:pPr>
            <w:pStyle w:val="21"/>
            <w:tabs>
              <w:tab w:val="right" w:leader="dot" w:pos="8441"/>
            </w:tabs>
            <w:ind w:left="480"/>
          </w:pPr>
          <w:r>
            <w:fldChar w:fldCharType="begin"/>
          </w:r>
          <w:r>
            <w:instrText xml:space="preserve"> HYPERLINK \l "_Toc4928" </w:instrText>
          </w:r>
          <w:r>
            <w:fldChar w:fldCharType="separate"/>
          </w:r>
          <w:r>
            <w:rPr>
              <w:rFonts w:hint="eastAsia"/>
            </w:rPr>
            <w:t>5</w:t>
          </w:r>
          <w:r>
            <w:rPr>
              <w:lang w:val="zh-TW"/>
            </w:rPr>
            <w:t>.</w:t>
          </w:r>
          <w:r>
            <w:rPr>
              <w:rFonts w:hint="eastAsia"/>
            </w:rPr>
            <w:t>8</w:t>
          </w:r>
          <w:r>
            <w:rPr>
              <w:lang w:val="zh-TW"/>
            </w:rPr>
            <w:t>投标文件声明格式</w:t>
          </w:r>
          <w:r>
            <w:tab/>
          </w:r>
          <w:r>
            <w:fldChar w:fldCharType="begin"/>
          </w:r>
          <w:r>
            <w:instrText xml:space="preserve"> PAGEREF _Toc4928 \h </w:instrText>
          </w:r>
          <w:r>
            <w:fldChar w:fldCharType="separate"/>
          </w:r>
          <w:r>
            <w:t>24</w:t>
          </w:r>
          <w:r>
            <w:fldChar w:fldCharType="end"/>
          </w:r>
          <w:r>
            <w:fldChar w:fldCharType="end"/>
          </w:r>
        </w:p>
        <w:p>
          <w:pPr>
            <w:pStyle w:val="3"/>
            <w:spacing w:line="360" w:lineRule="auto"/>
            <w:rPr>
              <w:rFonts w:eastAsiaTheme="minorEastAsia"/>
            </w:rPr>
          </w:pPr>
          <w:r>
            <w:rPr>
              <w:rFonts w:eastAsiaTheme="minorEastAsia"/>
            </w:rPr>
            <w:fldChar w:fldCharType="end"/>
          </w:r>
        </w:p>
      </w:sdtContent>
    </w:sdt>
    <w:p>
      <w:pPr>
        <w:pStyle w:val="3"/>
        <w:spacing w:line="360" w:lineRule="auto"/>
        <w:rPr>
          <w:rFonts w:eastAsiaTheme="minorEastAsia"/>
        </w:rPr>
      </w:pPr>
      <w:r>
        <w:rPr>
          <w:rFonts w:hint="eastAsia" w:eastAsiaTheme="minorEastAsia"/>
        </w:rPr>
        <w:t>注：页码由招标文件编制人员根据实际情况填写。</w:t>
      </w:r>
    </w:p>
    <w:p>
      <w:pPr>
        <w:rPr>
          <w:rFonts w:eastAsiaTheme="minorEastAsia"/>
          <w:color w:val="000000"/>
          <w:kern w:val="2"/>
          <w:sz w:val="21"/>
          <w:szCs w:val="21"/>
          <w:u w:val="none"/>
        </w:rPr>
      </w:pPr>
      <w:r>
        <w:rPr>
          <w:rFonts w:hint="eastAsia" w:eastAsiaTheme="minorEastAsia"/>
          <w:color w:val="000000"/>
          <w:kern w:val="2"/>
          <w:sz w:val="21"/>
          <w:szCs w:val="21"/>
          <w:u w:val="none"/>
        </w:rPr>
        <w:br w:type="page"/>
      </w:r>
      <w:bookmarkStart w:id="214" w:name="_GoBack"/>
      <w:bookmarkEnd w:id="214"/>
    </w:p>
    <w:p>
      <w:pPr>
        <w:pStyle w:val="3"/>
        <w:spacing w:line="360" w:lineRule="auto"/>
        <w:rPr>
          <w:rFonts w:eastAsiaTheme="minorEastAsia"/>
        </w:rPr>
        <w:sectPr>
          <w:footerReference r:id="rId11" w:type="first"/>
          <w:footerReference r:id="rId10" w:type="default"/>
          <w:pgSz w:w="11900" w:h="16840"/>
          <w:pgMar w:top="1474" w:right="1701" w:bottom="1418" w:left="1758" w:header="851" w:footer="1134" w:gutter="0"/>
          <w:pgNumType w:start="1"/>
          <w:cols w:space="720" w:num="1"/>
          <w:titlePg/>
          <w:docGrid w:linePitch="326" w:charSpace="0"/>
        </w:sectPr>
      </w:pPr>
    </w:p>
    <w:p>
      <w:pPr>
        <w:pStyle w:val="3"/>
        <w:spacing w:before="120" w:line="360" w:lineRule="auto"/>
        <w:jc w:val="center"/>
        <w:outlineLvl w:val="0"/>
        <w:rPr>
          <w:rFonts w:cs="宋体" w:asciiTheme="majorEastAsia" w:hAnsiTheme="majorEastAsia" w:eastAsiaTheme="majorEastAsia"/>
          <w:b/>
          <w:sz w:val="32"/>
          <w:szCs w:val="32"/>
        </w:rPr>
      </w:pPr>
      <w:bookmarkStart w:id="0" w:name="_Toc489533785"/>
      <w:bookmarkStart w:id="1" w:name="_Toc489533297"/>
      <w:bookmarkStart w:id="2" w:name="_Toc484762136"/>
      <w:bookmarkStart w:id="3" w:name="_Toc19637"/>
      <w:bookmarkStart w:id="4" w:name="_Toc18693"/>
      <w:r>
        <w:rPr>
          <w:rFonts w:cs="宋体" w:asciiTheme="majorEastAsia" w:hAnsiTheme="majorEastAsia" w:eastAsiaTheme="majorEastAsia"/>
          <w:b/>
          <w:sz w:val="32"/>
          <w:szCs w:val="32"/>
          <w:lang w:val="zh-TW" w:eastAsia="zh-TW"/>
        </w:rPr>
        <w:t>第一章招标</w:t>
      </w:r>
      <w:bookmarkEnd w:id="0"/>
      <w:bookmarkEnd w:id="1"/>
      <w:bookmarkEnd w:id="2"/>
      <w:r>
        <w:rPr>
          <w:rFonts w:hint="eastAsia" w:cs="宋体" w:asciiTheme="majorEastAsia" w:hAnsiTheme="majorEastAsia" w:eastAsiaTheme="majorEastAsia"/>
          <w:b/>
          <w:sz w:val="32"/>
          <w:szCs w:val="32"/>
        </w:rPr>
        <w:t>公告</w:t>
      </w:r>
      <w:bookmarkEnd w:id="3"/>
      <w:bookmarkEnd w:id="4"/>
      <w:bookmarkStart w:id="5" w:name="_Toc484762137"/>
    </w:p>
    <w:p>
      <w:pPr>
        <w:pStyle w:val="3"/>
        <w:spacing w:before="120" w:line="360" w:lineRule="auto"/>
        <w:jc w:val="center"/>
        <w:rPr>
          <w:rFonts w:cs="宋体" w:asciiTheme="majorEastAsia" w:hAnsiTheme="majorEastAsia" w:eastAsiaTheme="majorEastAsia"/>
          <w:b/>
          <w:sz w:val="2"/>
          <w:szCs w:val="2"/>
        </w:rPr>
      </w:pPr>
    </w:p>
    <w:p>
      <w:pPr>
        <w:ind w:firstLineChars="200"/>
        <w:rPr>
          <w:rFonts w:ascii="宋体" w:hAnsi="宋体" w:cs="宋体"/>
          <w:u w:val="none"/>
        </w:rPr>
      </w:pPr>
      <w:r>
        <w:rPr>
          <w:rFonts w:hint="eastAsia" w:ascii="宋体" w:hAnsi="宋体" w:cs="宋体"/>
          <w:u w:val="none"/>
        </w:rPr>
        <w:t>太原重型机械集团有限公司（以下简称：“太重集团”或“我公司”）拟确定资产评估机构备选库入围评估机构，现面向社会公开征集证券期货类、资产评估类、土地房地产类资产评估供应商，经我公司审核评比后，可入围我公司资产评估机构备选库名单。根据需要，现对</w:t>
      </w:r>
      <w:r>
        <w:rPr>
          <w:rFonts w:hint="eastAsia"/>
        </w:rPr>
        <w:t>太原重型机械集团有限公司公开选聘资产评估机构备选库</w:t>
      </w:r>
      <w:r>
        <w:rPr>
          <w:rFonts w:hint="eastAsia" w:ascii="宋体" w:hAnsi="宋体" w:cs="宋体"/>
          <w:u w:val="none"/>
        </w:rPr>
        <w:t>项目(招标编号</w:t>
      </w:r>
      <w:r>
        <w:rPr>
          <w:rFonts w:hint="eastAsia"/>
          <w:u w:val="none"/>
        </w:rPr>
        <w:t>：_</w:t>
      </w:r>
      <w:r>
        <w:t xml:space="preserve"> ZB23X003</w:t>
      </w:r>
      <w:r>
        <w:rPr>
          <w:u w:val="none"/>
        </w:rPr>
        <w:t xml:space="preserve"> </w:t>
      </w:r>
      <w:r>
        <w:rPr>
          <w:rFonts w:hint="eastAsia" w:ascii="宋体" w:hAnsi="宋体" w:cs="宋体"/>
          <w:u w:val="none"/>
        </w:rPr>
        <w:t>)进行招标。</w:t>
      </w:r>
    </w:p>
    <w:p>
      <w:pPr>
        <w:rPr>
          <w:rFonts w:ascii="宋体" w:hAnsi="宋体" w:cs="宋体"/>
          <w:u w:val="none"/>
        </w:rPr>
      </w:pPr>
      <w:r>
        <w:rPr>
          <w:rFonts w:hint="eastAsia" w:ascii="宋体" w:hAnsi="宋体" w:cs="宋体"/>
          <w:u w:val="none"/>
        </w:rPr>
        <w:t>招标方式为：招标☑ 议标□；招标类别为：单价标☑ 量标□。</w:t>
      </w:r>
    </w:p>
    <w:p>
      <w:pPr>
        <w:ind w:firstLine="0"/>
        <w:outlineLvl w:val="1"/>
        <w:rPr>
          <w:rFonts w:cs="Arial" w:asciiTheme="majorEastAsia" w:hAnsiTheme="majorEastAsia" w:eastAsiaTheme="majorEastAsia"/>
          <w:b/>
          <w:bCs/>
          <w:color w:val="000000"/>
          <w:kern w:val="2"/>
          <w:u w:val="none"/>
          <w:lang w:val="zh-TW"/>
        </w:rPr>
      </w:pPr>
      <w:bookmarkStart w:id="6" w:name="_Toc25813"/>
      <w:r>
        <w:rPr>
          <w:rFonts w:hint="eastAsia" w:cs="Arial" w:asciiTheme="majorEastAsia" w:hAnsiTheme="majorEastAsia" w:eastAsiaTheme="majorEastAsia"/>
          <w:b/>
          <w:bCs/>
          <w:color w:val="000000"/>
          <w:kern w:val="2"/>
          <w:u w:val="none"/>
          <w:lang w:val="zh-TW"/>
        </w:rPr>
        <w:t>1.</w:t>
      </w:r>
      <w:r>
        <w:rPr>
          <w:rFonts w:hint="eastAsia" w:cs="Arial" w:asciiTheme="majorEastAsia" w:hAnsiTheme="majorEastAsia" w:eastAsiaTheme="majorEastAsia"/>
          <w:b/>
          <w:bCs/>
          <w:color w:val="000000"/>
          <w:kern w:val="2"/>
          <w:u w:val="none"/>
        </w:rPr>
        <w:t>1</w:t>
      </w:r>
      <w:r>
        <w:rPr>
          <w:rFonts w:hint="eastAsia" w:cs="Arial" w:asciiTheme="majorEastAsia" w:hAnsiTheme="majorEastAsia" w:eastAsiaTheme="majorEastAsia"/>
          <w:b/>
          <w:bCs/>
          <w:color w:val="000000"/>
          <w:kern w:val="2"/>
          <w:u w:val="none"/>
          <w:lang w:val="zh-TW"/>
        </w:rPr>
        <w:t>项目名称</w:t>
      </w:r>
      <w:bookmarkEnd w:id="6"/>
    </w:p>
    <w:p>
      <w:pPr>
        <w:ind w:firstLineChars="200"/>
        <w:rPr>
          <w:rFonts w:ascii="宋体" w:hAnsi="宋体" w:cs="宋体"/>
          <w:u w:val="none"/>
        </w:rPr>
      </w:pPr>
      <w:r>
        <w:rPr>
          <w:rFonts w:hint="eastAsia" w:ascii="宋体" w:hAnsi="宋体" w:cs="宋体"/>
          <w:u w:val="none"/>
        </w:rPr>
        <w:t>太原重型机械集团有限公司公开选聘资产评估机构备选库项目。</w:t>
      </w:r>
    </w:p>
    <w:p>
      <w:pPr>
        <w:ind w:firstLine="0"/>
        <w:outlineLvl w:val="1"/>
        <w:rPr>
          <w:rFonts w:ascii="宋体" w:hAnsi="宋体" w:cs="宋体"/>
          <w:b/>
          <w:bCs/>
          <w:u w:val="none"/>
        </w:rPr>
      </w:pPr>
      <w:bookmarkStart w:id="7" w:name="_Toc25726"/>
      <w:r>
        <w:rPr>
          <w:rFonts w:hint="eastAsia" w:ascii="宋体" w:hAnsi="宋体" w:cs="宋体"/>
          <w:b/>
          <w:bCs/>
          <w:u w:val="none"/>
        </w:rPr>
        <w:t>1.2服务范围</w:t>
      </w:r>
      <w:bookmarkEnd w:id="7"/>
    </w:p>
    <w:p>
      <w:pPr>
        <w:ind w:firstLineChars="200"/>
        <w:rPr>
          <w:rFonts w:ascii="宋体" w:hAnsi="宋体" w:cs="宋体"/>
          <w:u w:val="none"/>
        </w:rPr>
      </w:pPr>
      <w:r>
        <w:rPr>
          <w:rFonts w:hint="eastAsia" w:ascii="宋体" w:hAnsi="宋体" w:cs="宋体"/>
          <w:u w:val="none"/>
        </w:rPr>
        <w:t>太原重型机械集团有限公司及其所属全资、控股或实际控制的子公司。</w:t>
      </w:r>
    </w:p>
    <w:p>
      <w:pPr>
        <w:ind w:firstLine="0"/>
        <w:outlineLvl w:val="1"/>
        <w:rPr>
          <w:rFonts w:ascii="宋体" w:hAnsi="宋体" w:cs="宋体"/>
          <w:u w:val="none"/>
        </w:rPr>
      </w:pPr>
      <w:bookmarkStart w:id="8" w:name="_Toc25689"/>
      <w:r>
        <w:rPr>
          <w:rFonts w:hint="eastAsia" w:ascii="宋体" w:hAnsi="宋体" w:cs="宋体"/>
          <w:b/>
          <w:bCs/>
          <w:u w:val="none"/>
        </w:rPr>
        <w:t>1.3服务内容</w:t>
      </w:r>
      <w:bookmarkEnd w:id="8"/>
    </w:p>
    <w:p>
      <w:pPr>
        <w:rPr>
          <w:rFonts w:ascii="宋体" w:hAnsi="宋体" w:cs="宋体"/>
          <w:u w:val="none"/>
        </w:rPr>
      </w:pPr>
      <w:r>
        <w:rPr>
          <w:rFonts w:hint="eastAsia" w:ascii="宋体" w:hAnsi="宋体" w:cs="宋体"/>
          <w:u w:val="none"/>
        </w:rPr>
        <w:t>1.3.1</w:t>
      </w:r>
      <w:r>
        <w:rPr>
          <w:rFonts w:ascii="宋体" w:hAnsi="宋体" w:cs="宋体"/>
          <w:u w:val="none"/>
        </w:rPr>
        <w:t>根据国资委《企业国有资产评估管理暂行办法》（国务院国资委第 12 号令）和资产评估管理相关制度的规定，接受</w:t>
      </w:r>
      <w:r>
        <w:rPr>
          <w:rFonts w:hint="eastAsia" w:ascii="宋体" w:hAnsi="宋体" w:cs="宋体"/>
          <w:u w:val="none"/>
        </w:rPr>
        <w:t>太重集团</w:t>
      </w:r>
      <w:r>
        <w:rPr>
          <w:rFonts w:ascii="宋体" w:hAnsi="宋体" w:cs="宋体"/>
          <w:u w:val="none"/>
        </w:rPr>
        <w:t>及</w:t>
      </w:r>
      <w:r>
        <w:rPr>
          <w:rFonts w:hint="eastAsia" w:ascii="宋体" w:hAnsi="宋体" w:cs="宋体"/>
          <w:u w:val="none"/>
        </w:rPr>
        <w:t>所属子</w:t>
      </w:r>
      <w:r>
        <w:rPr>
          <w:rFonts w:ascii="宋体" w:hAnsi="宋体" w:cs="宋体"/>
          <w:u w:val="none"/>
        </w:rPr>
        <w:t>公司委托，对相应经济行为进行资产评估，出具评估报告（含报告、说明、明细表）等</w:t>
      </w:r>
      <w:r>
        <w:rPr>
          <w:rFonts w:hint="eastAsia" w:ascii="宋体" w:hAnsi="宋体" w:cs="宋体"/>
          <w:u w:val="none"/>
        </w:rPr>
        <w:t>。</w:t>
      </w:r>
    </w:p>
    <w:p>
      <w:pPr>
        <w:rPr>
          <w:rFonts w:ascii="宋体" w:hAnsi="宋体" w:cs="宋体"/>
          <w:u w:val="none"/>
        </w:rPr>
      </w:pPr>
      <w:r>
        <w:rPr>
          <w:rFonts w:hint="eastAsia" w:ascii="宋体" w:hAnsi="宋体" w:cs="宋体"/>
          <w:u w:val="none"/>
        </w:rPr>
        <w:t>1.3.2派出评审专家，提供评估报告审核服务。</w:t>
      </w:r>
    </w:p>
    <w:p>
      <w:pPr>
        <w:rPr>
          <w:rFonts w:ascii="宋体" w:hAnsi="宋体" w:cs="宋体"/>
          <w:u w:val="none"/>
        </w:rPr>
      </w:pPr>
      <w:r>
        <w:rPr>
          <w:rFonts w:hint="eastAsia" w:ascii="宋体" w:hAnsi="宋体" w:cs="宋体"/>
          <w:u w:val="none"/>
        </w:rPr>
        <w:t>1.3.3</w:t>
      </w:r>
      <w:r>
        <w:rPr>
          <w:rFonts w:ascii="宋体" w:hAnsi="宋体" w:cs="宋体"/>
          <w:u w:val="none"/>
        </w:rPr>
        <w:t>提供业务培训、咨询等服务</w:t>
      </w:r>
      <w:r>
        <w:rPr>
          <w:rFonts w:hint="eastAsia" w:ascii="宋体" w:hAnsi="宋体" w:cs="宋体"/>
          <w:u w:val="none"/>
        </w:rPr>
        <w:t>。</w:t>
      </w:r>
    </w:p>
    <w:p>
      <w:pPr>
        <w:ind w:firstLine="0"/>
        <w:outlineLvl w:val="1"/>
        <w:rPr>
          <w:rFonts w:ascii="宋体" w:hAnsi="宋体" w:cs="宋体"/>
          <w:b/>
          <w:bCs/>
          <w:u w:val="none"/>
        </w:rPr>
      </w:pPr>
      <w:bookmarkStart w:id="9" w:name="_Toc9081"/>
      <w:r>
        <w:rPr>
          <w:rFonts w:hint="eastAsia" w:ascii="宋体" w:hAnsi="宋体" w:cs="宋体"/>
          <w:b/>
          <w:bCs/>
          <w:u w:val="none"/>
        </w:rPr>
        <w:t>1.4招标范围</w:t>
      </w:r>
      <w:bookmarkEnd w:id="9"/>
    </w:p>
    <w:p>
      <w:pPr>
        <w:ind w:firstLine="0"/>
        <w:rPr>
          <w:rFonts w:ascii="宋体" w:hAnsi="宋体" w:cs="宋体"/>
          <w:u w:val="none"/>
        </w:rPr>
      </w:pPr>
      <w:r>
        <w:rPr>
          <w:rFonts w:hint="eastAsia" w:ascii="宋体" w:hAnsi="宋体" w:cs="宋体"/>
          <w:b/>
          <w:bCs/>
          <w:u w:val="none"/>
        </w:rPr>
        <w:t xml:space="preserve">  </w:t>
      </w:r>
      <w:r>
        <w:rPr>
          <w:rFonts w:hint="eastAsia" w:ascii="宋体" w:hAnsi="宋体" w:cs="宋体"/>
          <w:u w:val="none"/>
        </w:rPr>
        <w:t xml:space="preserve">  公开选聘建立资产评估机构备选库，根据所涉及到的资产评估业务的经济行为类型、规模、数量、业务复杂程度、所需评估资质等因素考虑，细分为4个标段：</w:t>
      </w:r>
    </w:p>
    <w:p>
      <w:pPr>
        <w:ind w:firstLineChars="200"/>
        <w:rPr>
          <w:rFonts w:ascii="宋体" w:hAnsi="宋体" w:cs="宋体"/>
          <w:u w:val="none"/>
        </w:rPr>
      </w:pPr>
      <w:r>
        <w:rPr>
          <w:rFonts w:hint="eastAsia" w:ascii="宋体" w:hAnsi="宋体" w:cs="宋体"/>
          <w:u w:val="none"/>
        </w:rPr>
        <w:t>一标段：一般资产评估机构；</w:t>
      </w:r>
    </w:p>
    <w:p>
      <w:pPr>
        <w:ind w:firstLineChars="200"/>
        <w:rPr>
          <w:rFonts w:ascii="宋体" w:hAnsi="宋体" w:cs="宋体"/>
          <w:u w:val="none"/>
        </w:rPr>
      </w:pPr>
      <w:r>
        <w:rPr>
          <w:rFonts w:hint="eastAsia" w:ascii="宋体" w:hAnsi="宋体" w:cs="宋体"/>
          <w:u w:val="none"/>
        </w:rPr>
        <w:t>二标段：证券资质评估机构；</w:t>
      </w:r>
    </w:p>
    <w:p>
      <w:pPr>
        <w:ind w:firstLineChars="200"/>
        <w:rPr>
          <w:rFonts w:ascii="宋体" w:hAnsi="宋体" w:cs="宋体"/>
          <w:u w:val="none"/>
        </w:rPr>
      </w:pPr>
      <w:r>
        <w:rPr>
          <w:rFonts w:hint="eastAsia" w:ascii="宋体" w:hAnsi="宋体" w:cs="宋体"/>
          <w:u w:val="none"/>
        </w:rPr>
        <w:t>三标段：土地资质评估机构；</w:t>
      </w:r>
    </w:p>
    <w:p>
      <w:pPr>
        <w:ind w:firstLineChars="200"/>
        <w:rPr>
          <w:rFonts w:ascii="宋体" w:hAnsi="宋体" w:cs="宋体"/>
          <w:b/>
          <w:bCs/>
          <w:u w:val="none"/>
        </w:rPr>
      </w:pPr>
      <w:r>
        <w:rPr>
          <w:rFonts w:hint="eastAsia" w:ascii="宋体" w:hAnsi="宋体" w:cs="宋体"/>
          <w:u w:val="none"/>
        </w:rPr>
        <w:t>四标段：房产资质评估机构。</w:t>
      </w:r>
    </w:p>
    <w:p>
      <w:pPr>
        <w:ind w:firstLine="0"/>
        <w:outlineLvl w:val="1"/>
        <w:rPr>
          <w:rFonts w:ascii="宋体" w:hAnsi="宋体" w:cs="宋体"/>
          <w:b/>
          <w:bCs/>
          <w:u w:val="none"/>
        </w:rPr>
      </w:pPr>
      <w:bookmarkStart w:id="10" w:name="_Toc14453"/>
      <w:r>
        <w:rPr>
          <w:rFonts w:hint="eastAsia" w:ascii="宋体" w:hAnsi="宋体" w:cs="宋体"/>
          <w:b/>
          <w:bCs/>
          <w:u w:val="none"/>
        </w:rPr>
        <w:t>1.5应聘机构资格要求</w:t>
      </w:r>
      <w:bookmarkEnd w:id="10"/>
    </w:p>
    <w:p>
      <w:pPr>
        <w:ind w:firstLine="0"/>
        <w:rPr>
          <w:rFonts w:ascii="宋体" w:hAnsi="宋体" w:cs="宋体"/>
          <w:u w:val="none"/>
        </w:rPr>
      </w:pPr>
      <w:r>
        <w:rPr>
          <w:rFonts w:hint="eastAsia" w:ascii="宋体" w:hAnsi="宋体" w:cs="宋体"/>
          <w:u w:val="none"/>
        </w:rPr>
        <w:t xml:space="preserve">    1.5.1依法设立，具有独立法人资格，连续正常执业3年以上。社会信用良好，“信用中国”网站未被列入失信被执行人名单，在“企业信用信息公示系统”中未被列入严重违法失信企业名录。</w:t>
      </w:r>
    </w:p>
    <w:p>
      <w:pPr>
        <w:ind w:firstLineChars="200"/>
        <w:rPr>
          <w:rFonts w:ascii="宋体" w:hAnsi="宋体" w:cs="宋体"/>
          <w:u w:val="none"/>
        </w:rPr>
      </w:pPr>
      <w:r>
        <w:rPr>
          <w:rFonts w:hint="eastAsia" w:ascii="宋体" w:hAnsi="宋体" w:cs="宋体"/>
          <w:u w:val="none"/>
        </w:rPr>
        <w:t>1.5.2供应商应遵守国家有关资产评估法律、行政法规等政策规定，严格履行法定职责，近三年内机构及其主要负责人无违法违规记录，在承担国有资产评估工作中未出现重大质量问题或不良记录。</w:t>
      </w:r>
    </w:p>
    <w:p>
      <w:pPr>
        <w:ind w:firstLineChars="200"/>
        <w:rPr>
          <w:rFonts w:ascii="宋体" w:hAnsi="宋体" w:cs="宋体"/>
          <w:u w:val="none"/>
        </w:rPr>
      </w:pPr>
      <w:r>
        <w:rPr>
          <w:rFonts w:hint="eastAsia" w:ascii="宋体" w:hAnsi="宋体" w:cs="宋体"/>
          <w:u w:val="none"/>
        </w:rPr>
        <w:t>1.5.3掌握我公司所属重型机械行业的经济行为特点和相关市场信息，熟悉所在行业相关的法规、政策。</w:t>
      </w:r>
    </w:p>
    <w:p>
      <w:pPr>
        <w:ind w:firstLineChars="200"/>
        <w:rPr>
          <w:rFonts w:ascii="宋体" w:hAnsi="宋体" w:cs="宋体"/>
          <w:u w:val="none"/>
        </w:rPr>
      </w:pPr>
      <w:r>
        <w:rPr>
          <w:rFonts w:hint="eastAsia" w:ascii="宋体" w:hAnsi="宋体" w:cs="宋体"/>
          <w:u w:val="none"/>
        </w:rPr>
        <w:t>1.5.4评估机构具备相应资质，具有政府有关部门颁发的资质证书；执业人员具备法定执业资格，具有与我公司评估需求相适应的专业人员和专业特长。</w:t>
      </w:r>
    </w:p>
    <w:p>
      <w:pPr>
        <w:ind w:firstLineChars="200"/>
        <w:rPr>
          <w:rFonts w:ascii="宋体" w:hAnsi="宋体" w:cs="宋体"/>
          <w:u w:val="none"/>
        </w:rPr>
      </w:pPr>
      <w:r>
        <w:rPr>
          <w:rFonts w:hint="eastAsia" w:ascii="宋体" w:hAnsi="宋体" w:cs="宋体"/>
          <w:u w:val="none"/>
        </w:rPr>
        <w:t>1.5.5</w:t>
      </w:r>
      <w:r>
        <w:rPr>
          <w:rFonts w:ascii="宋体" w:hAnsi="宋体" w:cs="宋体"/>
          <w:u w:val="none"/>
        </w:rPr>
        <w:t>机构内部管理制度健全，执业规范。具备健全、完善的内部质量控制体系，建有国有资产评估报告三级及三级以上审核制度。</w:t>
      </w:r>
    </w:p>
    <w:p>
      <w:pPr>
        <w:ind w:firstLineChars="200"/>
        <w:rPr>
          <w:rFonts w:ascii="宋体" w:hAnsi="宋体" w:cs="宋体"/>
          <w:u w:val="none"/>
        </w:rPr>
      </w:pPr>
      <w:r>
        <w:rPr>
          <w:rFonts w:hint="eastAsia" w:ascii="宋体" w:hAnsi="宋体" w:cs="宋体"/>
          <w:u w:val="none"/>
        </w:rPr>
        <w:t>1.5.6财务状况良好</w:t>
      </w:r>
      <w:r>
        <w:rPr>
          <w:rFonts w:ascii="宋体" w:hAnsi="宋体" w:cs="宋体"/>
          <w:u w:val="none"/>
        </w:rPr>
        <w:t>，需提供近一年的财务报表复印件（仅须包含审计报告封面至签字页，资产负债表、利润表及现金流量表）。</w:t>
      </w:r>
    </w:p>
    <w:p>
      <w:pPr>
        <w:ind w:firstLineChars="200"/>
        <w:rPr>
          <w:rFonts w:ascii="宋体" w:hAnsi="宋体" w:cs="宋体"/>
          <w:u w:val="none"/>
        </w:rPr>
      </w:pPr>
      <w:r>
        <w:rPr>
          <w:rFonts w:hint="eastAsia" w:ascii="宋体" w:hAnsi="宋体" w:cs="宋体"/>
          <w:u w:val="none"/>
        </w:rPr>
        <w:t>1.5.7</w:t>
      </w:r>
      <w:r>
        <w:rPr>
          <w:rFonts w:ascii="宋体" w:hAnsi="宋体" w:cs="宋体"/>
          <w:u w:val="none"/>
        </w:rPr>
        <w:t>与企业负责人无经济利益关系。</w:t>
      </w:r>
    </w:p>
    <w:p>
      <w:pPr>
        <w:ind w:firstLineChars="200"/>
        <w:rPr>
          <w:rFonts w:ascii="宋体" w:hAnsi="宋体" w:cs="宋体"/>
          <w:u w:val="none"/>
        </w:rPr>
      </w:pPr>
      <w:r>
        <w:rPr>
          <w:rFonts w:hint="eastAsia" w:ascii="宋体" w:hAnsi="宋体" w:cs="宋体"/>
          <w:u w:val="none"/>
        </w:rPr>
        <w:t>1.5.8</w:t>
      </w:r>
      <w:r>
        <w:rPr>
          <w:rFonts w:ascii="宋体" w:hAnsi="宋体" w:cs="宋体"/>
          <w:u w:val="none"/>
        </w:rPr>
        <w:t>按国家职业后续教育的有关规定对执业人员进行后续教育。</w:t>
      </w:r>
    </w:p>
    <w:p>
      <w:pPr>
        <w:ind w:firstLineChars="200"/>
        <w:rPr>
          <w:rFonts w:ascii="宋体" w:hAnsi="宋体" w:cs="宋体"/>
          <w:u w:val="none"/>
        </w:rPr>
      </w:pPr>
      <w:r>
        <w:rPr>
          <w:rFonts w:hint="eastAsia" w:ascii="宋体" w:hAnsi="宋体" w:cs="宋体"/>
          <w:u w:val="none"/>
        </w:rPr>
        <w:t>1.5.9</w:t>
      </w:r>
      <w:r>
        <w:rPr>
          <w:rFonts w:ascii="宋体" w:hAnsi="宋体" w:cs="宋体"/>
          <w:u w:val="none"/>
        </w:rPr>
        <w:t>评估机构及其人员为采购方提供评估报告审核、专业培训授课、专业咨询等服务。</w:t>
      </w:r>
    </w:p>
    <w:p>
      <w:pPr>
        <w:ind w:firstLineChars="200"/>
        <w:rPr>
          <w:rFonts w:ascii="宋体" w:hAnsi="宋体" w:cs="宋体"/>
          <w:u w:val="none"/>
        </w:rPr>
      </w:pPr>
      <w:r>
        <w:rPr>
          <w:rFonts w:hint="eastAsia" w:ascii="宋体" w:hAnsi="宋体" w:cs="宋体"/>
          <w:u w:val="none"/>
        </w:rPr>
        <w:t>1.5.10</w:t>
      </w:r>
      <w:r>
        <w:rPr>
          <w:rFonts w:ascii="宋体" w:hAnsi="宋体" w:cs="宋体"/>
          <w:u w:val="none"/>
        </w:rPr>
        <w:t>本项目不接受联合体投标。</w:t>
      </w:r>
    </w:p>
    <w:p>
      <w:pPr>
        <w:ind w:firstLineChars="200"/>
        <w:rPr>
          <w:rFonts w:ascii="宋体" w:hAnsi="宋体" w:cs="宋体"/>
          <w:u w:val="none"/>
        </w:rPr>
      </w:pPr>
      <w:r>
        <w:rPr>
          <w:rFonts w:hint="eastAsia" w:ascii="宋体" w:hAnsi="宋体" w:cs="宋体"/>
          <w:u w:val="none"/>
        </w:rPr>
        <w:t>1.5.11</w:t>
      </w:r>
      <w:r>
        <w:rPr>
          <w:rFonts w:ascii="宋体" w:hAnsi="宋体" w:cs="宋体"/>
          <w:u w:val="none"/>
        </w:rPr>
        <w:t>单位负责人为同一人或者存在控股、管理关系的不同单位，不得参加同一标段投标或者未划分标段的同一招标项目投标。</w:t>
      </w:r>
    </w:p>
    <w:p>
      <w:pPr>
        <w:ind w:firstLineChars="200"/>
        <w:rPr>
          <w:rFonts w:ascii="宋体" w:hAnsi="宋体" w:cs="宋体"/>
          <w:u w:val="none"/>
        </w:rPr>
      </w:pPr>
      <w:r>
        <w:rPr>
          <w:rFonts w:hint="eastAsia" w:ascii="宋体" w:hAnsi="宋体" w:cs="宋体"/>
          <w:u w:val="none"/>
        </w:rPr>
        <w:t>1.5.12投标人没有处于被责令停业，投标资格被取消，财产被接管、冻结，破产状态。</w:t>
      </w:r>
    </w:p>
    <w:p>
      <w:pPr>
        <w:ind w:firstLineChars="200"/>
        <w:rPr>
          <w:rFonts w:ascii="宋体" w:hAnsi="宋体" w:cs="宋体"/>
          <w:u w:val="none"/>
        </w:rPr>
      </w:pPr>
      <w:r>
        <w:rPr>
          <w:rFonts w:hint="eastAsia" w:ascii="宋体" w:hAnsi="宋体" w:cs="宋体"/>
          <w:u w:val="none"/>
        </w:rPr>
        <w:t>1.5.13法定代表人为同一个人的两个及两个以上法人，母公司、全资子公司及其控股公司，都不得在同一招标中同时投标。</w:t>
      </w:r>
    </w:p>
    <w:p>
      <w:pPr>
        <w:snapToGrid/>
        <w:ind w:firstLine="0"/>
        <w:outlineLvl w:val="1"/>
        <w:rPr>
          <w:rFonts w:hint="eastAsia" w:ascii="宋体" w:hAnsi="宋体" w:cs="宋体"/>
          <w:b/>
          <w:bCs/>
          <w:u w:val="none"/>
        </w:rPr>
      </w:pPr>
      <w:bookmarkStart w:id="11" w:name="_Toc5911"/>
      <w:r>
        <w:rPr>
          <w:rFonts w:hint="eastAsia" w:ascii="宋体" w:hAnsi="宋体" w:cs="宋体"/>
          <w:b/>
          <w:bCs/>
          <w:u w:val="none"/>
        </w:rPr>
        <w:t>1.6报名要求</w:t>
      </w:r>
      <w:bookmarkEnd w:id="11"/>
    </w:p>
    <w:p>
      <w:pPr>
        <w:snapToGrid/>
        <w:ind w:firstLine="480" w:firstLineChars="200"/>
        <w:outlineLvl w:val="1"/>
        <w:rPr>
          <w:rFonts w:ascii="宋体" w:hAnsi="宋体" w:cs="宋体"/>
          <w:u w:val="none"/>
        </w:rPr>
      </w:pPr>
      <w:r>
        <w:rPr>
          <w:rFonts w:hint="eastAsia" w:ascii="宋体" w:hAnsi="宋体" w:cs="宋体"/>
          <w:b w:val="0"/>
          <w:bCs w:val="0"/>
          <w:u w:val="none"/>
          <w:lang w:val="en-US" w:eastAsia="zh-CN"/>
        </w:rPr>
        <w:t>1.6.1</w:t>
      </w:r>
      <w:r>
        <w:rPr>
          <w:rFonts w:hint="eastAsia" w:ascii="宋体" w:hAnsi="宋体" w:cs="宋体"/>
          <w:u w:val="none"/>
        </w:rPr>
        <w:t>投标人需按全部标段□、分标段☑进行投标。</w:t>
      </w:r>
    </w:p>
    <w:p>
      <w:pPr>
        <w:numPr>
          <w:numId w:val="0"/>
        </w:numPr>
        <w:snapToGrid/>
        <w:ind w:firstLine="480" w:firstLineChars="200"/>
        <w:rPr>
          <w:rFonts w:ascii="宋体" w:hAnsi="宋体" w:cs="宋体"/>
          <w:u w:val="none"/>
        </w:rPr>
      </w:pPr>
      <w:r>
        <w:rPr>
          <w:rFonts w:hint="eastAsia" w:ascii="宋体" w:hAnsi="宋体" w:eastAsia="宋体" w:cs="宋体"/>
          <w:sz w:val="24"/>
          <w:szCs w:val="24"/>
          <w:u w:val="none"/>
          <w:lang w:val="en-US" w:eastAsia="zh-CN"/>
        </w:rPr>
        <w:t>1.6.2</w:t>
      </w:r>
      <w:r>
        <w:rPr>
          <w:rFonts w:hint="eastAsia" w:ascii="宋体" w:hAnsi="宋体" w:eastAsia="宋体" w:cs="宋体"/>
          <w:sz w:val="24"/>
          <w:szCs w:val="24"/>
          <w:u w:val="none"/>
        </w:rPr>
        <w:t>报名时需提供的资料</w:t>
      </w:r>
      <w:r>
        <w:rPr>
          <w:rFonts w:hint="eastAsia" w:ascii="宋体" w:hAnsi="宋体" w:cs="宋体"/>
          <w:u w:val="none"/>
        </w:rPr>
        <w:t>：</w:t>
      </w:r>
    </w:p>
    <w:p>
      <w:pPr>
        <w:snapToGrid/>
        <w:ind w:firstLine="480" w:firstLineChars="200"/>
        <w:rPr>
          <w:rFonts w:ascii="宋体" w:hAnsi="宋体" w:cs="宋体"/>
          <w:u w:val="none"/>
        </w:rPr>
      </w:pPr>
      <w:r>
        <w:rPr>
          <w:rFonts w:hint="eastAsia" w:ascii="宋体" w:hAnsi="宋体" w:cs="宋体"/>
          <w:u w:val="none"/>
        </w:rPr>
        <w:t>营业执照（副本）；基本账户开户许可证（副本）；法定代表人授权书和被授权人身份证复印件（非法定代表人参加时）、法定代表人身份证复印件；</w:t>
      </w:r>
      <w:r>
        <w:rPr>
          <w:rFonts w:hint="eastAsia" w:ascii="宋体" w:hAnsi="宋体" w:cs="宋体"/>
          <w:u w:val="none"/>
          <w:lang w:val="zh-TW" w:eastAsia="zh-TW"/>
        </w:rPr>
        <w:t>资产评估机构入库申请表</w:t>
      </w:r>
      <w:r>
        <w:rPr>
          <w:rFonts w:hint="eastAsia" w:ascii="宋体" w:hAnsi="宋体" w:cs="宋体"/>
          <w:u w:val="none"/>
          <w:lang w:val="zh-TW"/>
        </w:rPr>
        <w:t>；应聘机构相关执业资格证书</w:t>
      </w:r>
      <w:r>
        <w:rPr>
          <w:rFonts w:hint="eastAsia" w:ascii="宋体" w:hAnsi="宋体" w:cs="宋体"/>
          <w:u w:val="none"/>
        </w:rPr>
        <w:t>或备案文件</w:t>
      </w:r>
      <w:r>
        <w:rPr>
          <w:rFonts w:hint="eastAsia" w:ascii="宋体" w:hAnsi="宋体" w:cs="宋体"/>
          <w:u w:val="none"/>
          <w:lang w:val="zh-TW"/>
        </w:rPr>
        <w:t>复印件；执业人员名单及执业资格证书复印件；信用中国截图，企业信用信息公示系统截图；近三年无违法违规记录说明及证明材料；</w:t>
      </w:r>
      <w:r>
        <w:rPr>
          <w:rFonts w:hint="eastAsia"/>
          <w:u w:val="none"/>
        </w:rPr>
        <w:t>应聘机构基本情况简介；关于承接我公司及下属公司项目的服务方案及服务承诺等</w:t>
      </w:r>
      <w:r>
        <w:rPr>
          <w:rFonts w:hint="eastAsia" w:ascii="宋体" w:hAnsi="宋体" w:cs="宋体"/>
          <w:u w:val="none"/>
        </w:rPr>
        <w:t>。</w:t>
      </w:r>
    </w:p>
    <w:p>
      <w:pPr>
        <w:numPr>
          <w:numId w:val="0"/>
        </w:numPr>
        <w:snapToGrid/>
        <w:ind w:firstLine="480" w:firstLineChars="200"/>
        <w:rPr>
          <w:rFonts w:ascii="宋体" w:hAnsi="宋体" w:cs="宋体"/>
          <w:u w:val="none"/>
        </w:rPr>
      </w:pPr>
      <w:r>
        <w:rPr>
          <w:rFonts w:hint="eastAsia" w:ascii="宋体" w:hAnsi="宋体" w:cs="宋体"/>
          <w:u w:val="none"/>
          <w:lang w:val="en-US" w:eastAsia="zh-CN"/>
        </w:rPr>
        <w:t>1.6.3</w:t>
      </w:r>
      <w:r>
        <w:rPr>
          <w:rFonts w:hint="eastAsia" w:ascii="宋体" w:hAnsi="宋体" w:cs="宋体"/>
          <w:u w:val="none"/>
        </w:rPr>
        <w:t>凡具有法人资格、并具备与标的物相适应的完成能力、符合和响应相应资质、相关要求的单位均可参加报名。</w:t>
      </w:r>
    </w:p>
    <w:p>
      <w:pPr>
        <w:snapToGrid/>
        <w:ind w:firstLine="0"/>
        <w:outlineLvl w:val="1"/>
        <w:rPr>
          <w:rFonts w:ascii="宋体" w:hAnsi="宋体" w:cs="宋体"/>
          <w:b/>
          <w:bCs/>
          <w:u w:val="none"/>
        </w:rPr>
      </w:pPr>
      <w:bookmarkStart w:id="12" w:name="_Toc9307"/>
      <w:r>
        <w:rPr>
          <w:rFonts w:hint="eastAsia" w:ascii="宋体" w:hAnsi="宋体" w:cs="宋体"/>
          <w:b/>
          <w:bCs/>
          <w:u w:val="none"/>
        </w:rPr>
        <w:t>1.7投标文件的递交</w:t>
      </w:r>
      <w:bookmarkEnd w:id="12"/>
    </w:p>
    <w:p>
      <w:pPr>
        <w:snapToGrid/>
        <w:ind w:firstLineChars="200"/>
        <w:rPr>
          <w:rFonts w:ascii="宋体" w:hAnsi="宋体" w:cs="宋体"/>
          <w:u w:val="none"/>
        </w:rPr>
      </w:pPr>
      <w:r>
        <w:rPr>
          <w:rFonts w:hint="eastAsia" w:ascii="宋体" w:hAnsi="宋体" w:cs="宋体"/>
          <w:u w:val="none"/>
        </w:rPr>
        <w:t>1.7.1 投标文件递交的截止时间为：2023年11月5日下午5时0分 (北京时间)，地点为太原市小店区正阳街85号太重集团总部。</w:t>
      </w:r>
    </w:p>
    <w:p>
      <w:pPr>
        <w:snapToGrid/>
        <w:ind w:firstLineChars="200"/>
        <w:rPr>
          <w:rFonts w:ascii="宋体" w:hAnsi="宋体" w:cs="宋体"/>
          <w:u w:val="none"/>
        </w:rPr>
      </w:pPr>
      <w:r>
        <w:rPr>
          <w:rFonts w:hint="eastAsia" w:ascii="宋体" w:hAnsi="宋体" w:cs="宋体"/>
          <w:u w:val="none"/>
        </w:rPr>
        <w:t>1.7.2投标文件递交方式：通过邮寄方式递交。</w:t>
      </w:r>
    </w:p>
    <w:p>
      <w:pPr>
        <w:snapToGrid/>
        <w:ind w:firstLineChars="200"/>
      </w:pPr>
      <w:r>
        <w:rPr>
          <w:rFonts w:hint="eastAsia" w:ascii="宋体" w:hAnsi="宋体" w:cs="宋体"/>
          <w:u w:val="none"/>
        </w:rPr>
        <w:t>1.7.</w:t>
      </w:r>
      <w:r>
        <w:rPr>
          <w:rFonts w:ascii="宋体" w:hAnsi="宋体" w:cs="宋体"/>
          <w:u w:val="none"/>
        </w:rPr>
        <w:t>3</w:t>
      </w:r>
      <w:r>
        <w:rPr>
          <w:rFonts w:hint="eastAsia" w:ascii="宋体" w:hAnsi="宋体" w:cs="宋体"/>
          <w:u w:val="none"/>
        </w:rPr>
        <w:t>逾期送达的或者不按照招标文件要求密封的投标文件，招标人将予以拒收。</w:t>
      </w:r>
    </w:p>
    <w:p>
      <w:pPr>
        <w:snapToGrid/>
        <w:ind w:firstLine="0"/>
        <w:outlineLvl w:val="1"/>
        <w:rPr>
          <w:rFonts w:ascii="宋体" w:hAnsi="宋体" w:cs="宋体"/>
          <w:b/>
          <w:bCs/>
          <w:u w:val="none"/>
        </w:rPr>
      </w:pPr>
      <w:bookmarkStart w:id="13" w:name="_Toc15174"/>
      <w:r>
        <w:rPr>
          <w:rFonts w:hint="eastAsia" w:ascii="宋体" w:hAnsi="宋体" w:cs="宋体"/>
          <w:b/>
          <w:bCs/>
          <w:u w:val="none"/>
        </w:rPr>
        <w:t>1.8联系方式</w:t>
      </w:r>
      <w:bookmarkEnd w:id="13"/>
    </w:p>
    <w:p>
      <w:pPr>
        <w:pStyle w:val="41"/>
        <w:ind w:left="420" w:firstLine="0" w:firstLineChars="0"/>
        <w:rPr>
          <w:rFonts w:ascii="宋体" w:hAnsi="宋体" w:cs="宋体"/>
          <w:u w:val="none"/>
        </w:rPr>
      </w:pPr>
      <w:r>
        <w:rPr>
          <w:rFonts w:hint="eastAsia" w:ascii="宋体" w:hAnsi="宋体" w:cs="宋体"/>
          <w:u w:val="none"/>
        </w:rPr>
        <w:t>联系单位：太原重型机械集团有限公司</w:t>
      </w:r>
    </w:p>
    <w:p>
      <w:pPr>
        <w:pStyle w:val="41"/>
        <w:ind w:left="420" w:firstLine="0" w:firstLineChars="0"/>
        <w:rPr>
          <w:rFonts w:ascii="宋体" w:hAnsi="宋体" w:cs="宋体"/>
          <w:u w:val="none"/>
        </w:rPr>
      </w:pPr>
      <w:r>
        <w:rPr>
          <w:rFonts w:hint="eastAsia" w:ascii="宋体" w:hAnsi="宋体" w:cs="宋体"/>
          <w:u w:val="none"/>
        </w:rPr>
        <w:t xml:space="preserve">联系人：王志东 </w:t>
      </w:r>
    </w:p>
    <w:p>
      <w:pPr>
        <w:pStyle w:val="41"/>
        <w:ind w:left="420" w:firstLine="0" w:firstLineChars="0"/>
        <w:rPr>
          <w:rFonts w:ascii="宋体" w:hAnsi="宋体" w:cs="宋体"/>
          <w:u w:val="none"/>
        </w:rPr>
      </w:pPr>
      <w:r>
        <w:rPr>
          <w:rFonts w:hint="eastAsia" w:ascii="宋体" w:hAnsi="宋体" w:cs="宋体"/>
          <w:u w:val="none"/>
        </w:rPr>
        <w:t xml:space="preserve">联系电话：18535131560                        </w:t>
      </w:r>
    </w:p>
    <w:p>
      <w:pPr>
        <w:pStyle w:val="41"/>
        <w:ind w:left="420" w:firstLine="0" w:firstLineChars="0"/>
        <w:rPr>
          <w:rFonts w:ascii="宋体" w:hAnsi="宋体" w:cs="宋体"/>
          <w:u w:val="none"/>
        </w:rPr>
      </w:pPr>
      <w:r>
        <w:rPr>
          <w:rFonts w:hint="eastAsia" w:ascii="宋体" w:hAnsi="宋体" w:cs="宋体"/>
          <w:u w:val="none"/>
        </w:rPr>
        <w:t>邮箱：</w:t>
      </w:r>
      <w:r>
        <w:rPr>
          <w:u w:val="none"/>
        </w:rPr>
        <w:fldChar w:fldCharType="begin"/>
      </w:r>
      <w:r>
        <w:rPr>
          <w:u w:val="none"/>
        </w:rPr>
        <w:instrText xml:space="preserve"> HYPERLINK "mailto:tzcocwbzcs@tz.com.cn" </w:instrText>
      </w:r>
      <w:r>
        <w:rPr>
          <w:u w:val="none"/>
        </w:rPr>
        <w:fldChar w:fldCharType="separate"/>
      </w:r>
      <w:r>
        <w:rPr>
          <w:rStyle w:val="28"/>
          <w:rFonts w:hint="eastAsia" w:ascii="宋体" w:hAnsi="宋体" w:cs="宋体"/>
          <w:u w:val="none"/>
        </w:rPr>
        <w:t>tzcocwbzcs@tz.com.cn</w:t>
      </w:r>
      <w:r>
        <w:rPr>
          <w:rStyle w:val="28"/>
          <w:rFonts w:hint="eastAsia" w:ascii="宋体" w:hAnsi="宋体" w:cs="宋体"/>
          <w:u w:val="none"/>
        </w:rPr>
        <w:fldChar w:fldCharType="end"/>
      </w:r>
    </w:p>
    <w:p>
      <w:pPr>
        <w:pStyle w:val="41"/>
        <w:ind w:left="420" w:firstLine="0" w:firstLineChars="0"/>
        <w:rPr>
          <w:rFonts w:ascii="宋体" w:hAnsi="宋体" w:cs="宋体"/>
          <w:u w:val="none"/>
        </w:rPr>
      </w:pPr>
      <w:r>
        <w:rPr>
          <w:rFonts w:hint="eastAsia" w:ascii="宋体" w:hAnsi="宋体" w:cs="宋体"/>
          <w:u w:val="none"/>
        </w:rPr>
        <w:t>招标组织单位：太原重工股份有限公司采购中心</w:t>
      </w:r>
    </w:p>
    <w:p>
      <w:pPr>
        <w:pStyle w:val="41"/>
        <w:ind w:left="420" w:firstLine="0" w:firstLineChars="0"/>
        <w:rPr>
          <w:rFonts w:ascii="宋体" w:hAnsi="宋体" w:cs="宋体"/>
          <w:u w:val="none"/>
        </w:rPr>
      </w:pPr>
      <w:r>
        <w:rPr>
          <w:rFonts w:hint="eastAsia" w:ascii="宋体" w:hAnsi="宋体" w:cs="宋体"/>
          <w:u w:val="none"/>
        </w:rPr>
        <w:t>地址：山西（太重）智能高端装备产业园区</w:t>
      </w:r>
    </w:p>
    <w:p>
      <w:pPr>
        <w:ind w:firstLineChars="200"/>
        <w:rPr>
          <w:rFonts w:ascii="宋体" w:hAnsi="宋体" w:cs="宋体"/>
          <w:u w:val="none"/>
        </w:rPr>
      </w:pPr>
      <w:r>
        <w:rPr>
          <w:rFonts w:hint="eastAsia" w:ascii="宋体" w:hAnsi="宋体" w:cs="宋体"/>
          <w:u w:val="none"/>
        </w:rPr>
        <w:t>上述内容如有变动，以我公司另行通知为准。</w:t>
      </w:r>
    </w:p>
    <w:p>
      <w:pPr>
        <w:ind w:firstLine="3360" w:firstLineChars="1400"/>
        <w:rPr>
          <w:u w:val="none"/>
        </w:rPr>
      </w:pPr>
    </w:p>
    <w:p>
      <w:pPr>
        <w:ind w:firstLine="3360" w:firstLineChars="1400"/>
        <w:rPr>
          <w:u w:val="none"/>
        </w:rPr>
      </w:pPr>
    </w:p>
    <w:p>
      <w:pPr>
        <w:ind w:firstLine="3360" w:firstLineChars="1400"/>
        <w:rPr>
          <w:u w:val="none"/>
        </w:rPr>
      </w:pPr>
      <w:r>
        <w:rPr>
          <w:rFonts w:hint="eastAsia"/>
          <w:u w:val="none"/>
        </w:rPr>
        <w:t xml:space="preserve"> </w:t>
      </w:r>
      <w:bookmarkStart w:id="14" w:name="_Toc20396"/>
      <w:r>
        <w:rPr>
          <w:rFonts w:hint="eastAsia"/>
          <w:u w:val="none"/>
        </w:rPr>
        <w:t>招标人：太原重型机械集团有限公司</w:t>
      </w:r>
      <w:bookmarkEnd w:id="14"/>
    </w:p>
    <w:p>
      <w:pPr>
        <w:ind w:right="480" w:firstLine="0"/>
        <w:jc w:val="right"/>
        <w:rPr>
          <w:u w:val="none"/>
        </w:rPr>
      </w:pPr>
      <w:r>
        <w:rPr>
          <w:rFonts w:hint="eastAsia"/>
          <w:u w:val="none"/>
        </w:rPr>
        <w:t xml:space="preserve">     </w:t>
      </w:r>
      <w:r>
        <w:rPr>
          <w:rFonts w:hint="eastAsia"/>
          <w:u w:val="none"/>
          <w:lang w:val="en-US" w:eastAsia="zh-CN"/>
        </w:rPr>
        <w:t xml:space="preserve">   </w:t>
      </w:r>
      <w:r>
        <w:rPr>
          <w:rFonts w:hint="eastAsia"/>
          <w:u w:val="none"/>
        </w:rPr>
        <w:t xml:space="preserve"> 招标组织单位：太原重工股份有限公司采购中心</w:t>
      </w:r>
    </w:p>
    <w:p>
      <w:pPr>
        <w:ind w:firstLine="5280" w:firstLineChars="2200"/>
        <w:rPr>
          <w:u w:val="none"/>
        </w:rPr>
      </w:pPr>
      <w:r>
        <w:rPr>
          <w:rFonts w:hint="eastAsia"/>
          <w:u w:val="none"/>
        </w:rPr>
        <w:t>2023年10月27日</w:t>
      </w:r>
    </w:p>
    <w:p>
      <w:pPr>
        <w:pStyle w:val="4"/>
      </w:pPr>
    </w:p>
    <w:p>
      <w:pPr>
        <w:widowControl/>
        <w:snapToGrid/>
        <w:spacing w:line="240" w:lineRule="auto"/>
        <w:ind w:firstLine="0"/>
        <w:jc w:val="left"/>
        <w:rPr>
          <w:rFonts w:ascii="宋体" w:hAnsi="宋体" w:cs="宋体"/>
          <w:b/>
          <w:color w:val="000000"/>
          <w:kern w:val="2"/>
          <w:sz w:val="32"/>
          <w:szCs w:val="32"/>
          <w:u w:val="none"/>
        </w:rPr>
      </w:pPr>
      <w:r>
        <w:rPr>
          <w:rFonts w:ascii="宋体" w:hAnsi="宋体" w:cs="宋体"/>
          <w:b/>
          <w:sz w:val="32"/>
          <w:szCs w:val="32"/>
        </w:rPr>
        <w:br w:type="page"/>
      </w:r>
    </w:p>
    <w:p>
      <w:pPr>
        <w:pStyle w:val="3"/>
        <w:spacing w:before="120" w:line="360" w:lineRule="auto"/>
        <w:jc w:val="center"/>
        <w:outlineLvl w:val="0"/>
        <w:rPr>
          <w:rFonts w:cs="宋体" w:asciiTheme="majorEastAsia" w:hAnsiTheme="majorEastAsia" w:eastAsiaTheme="majorEastAsia"/>
          <w:b/>
          <w:sz w:val="32"/>
          <w:szCs w:val="32"/>
          <w:lang w:val="zh-TW" w:eastAsia="zh-TW"/>
        </w:rPr>
      </w:pPr>
      <w:bookmarkStart w:id="15" w:name="_Toc20054"/>
      <w:bookmarkStart w:id="16" w:name="_Toc19412"/>
      <w:bookmarkStart w:id="17" w:name="_Toc489533298"/>
      <w:bookmarkStart w:id="18" w:name="_Toc489533786"/>
      <w:r>
        <w:rPr>
          <w:rFonts w:hint="eastAsia" w:cs="宋体" w:asciiTheme="majorEastAsia" w:hAnsiTheme="majorEastAsia" w:eastAsiaTheme="majorEastAsia"/>
          <w:b/>
          <w:sz w:val="32"/>
          <w:szCs w:val="32"/>
          <w:lang w:val="zh-TW" w:eastAsia="zh-TW"/>
        </w:rPr>
        <w:t>第二章总则</w:t>
      </w:r>
      <w:bookmarkEnd w:id="15"/>
      <w:bookmarkEnd w:id="16"/>
      <w:bookmarkEnd w:id="17"/>
      <w:bookmarkEnd w:id="18"/>
    </w:p>
    <w:p>
      <w:pPr>
        <w:pStyle w:val="35"/>
        <w:widowControl/>
        <w:spacing w:before="120" w:after="120" w:line="360" w:lineRule="auto"/>
        <w:rPr>
          <w:rFonts w:hint="default" w:ascii="宋体" w:hAnsi="宋体" w:eastAsia="宋体" w:cs="宋体"/>
          <w:sz w:val="24"/>
          <w:szCs w:val="24"/>
          <w:lang w:val="zh-TW"/>
        </w:rPr>
      </w:pPr>
      <w:r>
        <w:rPr>
          <w:rFonts w:ascii="宋体" w:hAnsi="宋体" w:eastAsia="宋体" w:cs="宋体"/>
          <w:sz w:val="24"/>
          <w:szCs w:val="24"/>
        </w:rPr>
        <w:t>1.</w:t>
      </w:r>
      <w:r>
        <w:rPr>
          <w:rFonts w:ascii="宋体" w:hAnsi="宋体" w:eastAsia="宋体" w:cs="宋体"/>
          <w:sz w:val="24"/>
          <w:szCs w:val="24"/>
          <w:lang w:val="zh-TW" w:eastAsia="zh-TW"/>
        </w:rPr>
        <w:t>本次项目</w:t>
      </w:r>
      <w:r>
        <w:rPr>
          <w:rFonts w:ascii="宋体" w:hAnsi="宋体" w:eastAsia="宋体" w:cs="宋体"/>
          <w:sz w:val="24"/>
          <w:szCs w:val="24"/>
          <w:lang w:val="zh-TW"/>
        </w:rPr>
        <w:t>的</w:t>
      </w:r>
      <w:r>
        <w:rPr>
          <w:rFonts w:ascii="宋体" w:hAnsi="宋体" w:eastAsia="宋体" w:cs="宋体"/>
          <w:sz w:val="24"/>
          <w:szCs w:val="24"/>
          <w:lang w:val="zh-TW" w:eastAsia="zh-TW"/>
        </w:rPr>
        <w:t>招标人为</w:t>
      </w:r>
      <w:r>
        <w:rPr>
          <w:rFonts w:ascii="宋体" w:hAnsi="宋体" w:eastAsia="宋体" w:cs="宋体"/>
          <w:sz w:val="24"/>
          <w:szCs w:val="24"/>
          <w:lang w:val="zh-TW"/>
        </w:rPr>
        <w:t>：</w:t>
      </w:r>
      <w:r>
        <w:rPr>
          <w:rFonts w:ascii="宋体" w:hAnsi="宋体" w:eastAsia="宋体" w:cs="宋体"/>
          <w:sz w:val="24"/>
          <w:szCs w:val="24"/>
        </w:rPr>
        <w:t>太原重型机械集团有限公司</w:t>
      </w:r>
      <w:r>
        <w:rPr>
          <w:rFonts w:ascii="宋体" w:hAnsi="宋体" w:eastAsia="宋体" w:cs="宋体"/>
          <w:sz w:val="24"/>
          <w:szCs w:val="24"/>
          <w:lang w:val="zh-TW" w:eastAsia="zh-TW"/>
        </w:rPr>
        <w:t>。</w:t>
      </w:r>
    </w:p>
    <w:p>
      <w:pPr>
        <w:pStyle w:val="35"/>
        <w:widowControl/>
        <w:spacing w:before="120" w:after="120" w:line="360" w:lineRule="auto"/>
        <w:rPr>
          <w:rFonts w:hint="default" w:ascii="宋体" w:hAnsi="宋体" w:eastAsia="宋体" w:cs="宋体"/>
          <w:sz w:val="24"/>
          <w:szCs w:val="24"/>
        </w:rPr>
      </w:pPr>
      <w:r>
        <w:rPr>
          <w:rFonts w:ascii="宋体" w:hAnsi="宋体" w:eastAsia="宋体" w:cs="宋体"/>
          <w:sz w:val="24"/>
          <w:szCs w:val="24"/>
        </w:rPr>
        <w:t>2.本次招标活动的组织单位为：太原重工股份有限公司采购中心。</w:t>
      </w:r>
    </w:p>
    <w:p>
      <w:pPr>
        <w:pStyle w:val="35"/>
        <w:widowControl/>
        <w:spacing w:before="120" w:after="120" w:line="360" w:lineRule="auto"/>
        <w:rPr>
          <w:rFonts w:hint="default" w:ascii="宋体" w:hAnsi="宋体" w:eastAsia="宋体" w:cs="宋体"/>
          <w:b/>
          <w:bCs/>
          <w:sz w:val="24"/>
          <w:szCs w:val="24"/>
        </w:rPr>
      </w:pPr>
      <w:r>
        <w:rPr>
          <w:rFonts w:ascii="宋体" w:hAnsi="宋体" w:eastAsia="宋体" w:cs="宋体"/>
          <w:sz w:val="24"/>
          <w:szCs w:val="24"/>
        </w:rPr>
        <w:t>3.</w:t>
      </w:r>
      <w:r>
        <w:rPr>
          <w:rFonts w:ascii="宋体" w:hAnsi="宋体" w:eastAsia="宋体" w:cs="宋体"/>
          <w:sz w:val="24"/>
          <w:szCs w:val="24"/>
          <w:lang w:val="zh-TW" w:eastAsia="zh-TW"/>
        </w:rPr>
        <w:t>合格的投标人</w:t>
      </w:r>
      <w:r>
        <w:rPr>
          <w:rFonts w:ascii="宋体" w:hAnsi="宋体" w:eastAsia="宋体" w:cs="宋体"/>
          <w:sz w:val="24"/>
          <w:szCs w:val="24"/>
          <w:lang w:val="zh-TW"/>
        </w:rPr>
        <w:t>：</w:t>
      </w:r>
      <w:r>
        <w:rPr>
          <w:rFonts w:ascii="宋体" w:hAnsi="宋体" w:eastAsia="宋体" w:cs="宋体"/>
          <w:sz w:val="24"/>
          <w:szCs w:val="24"/>
          <w:lang w:val="zh-TW" w:eastAsia="zh-TW"/>
        </w:rPr>
        <w:t>凡具有法人资格、并具备与标的物相适应的完成能力和符合、响应相应资质、相关要求的单位均可参加投标</w:t>
      </w:r>
      <w:r>
        <w:rPr>
          <w:rFonts w:ascii="宋体" w:hAnsi="宋体" w:eastAsia="宋体" w:cs="宋体"/>
          <w:sz w:val="24"/>
          <w:szCs w:val="24"/>
          <w:lang w:val="zh-TW"/>
        </w:rPr>
        <w:t>。</w:t>
      </w:r>
    </w:p>
    <w:p>
      <w:pPr>
        <w:pStyle w:val="35"/>
        <w:widowControl/>
        <w:spacing w:before="120" w:after="120" w:line="360" w:lineRule="auto"/>
        <w:rPr>
          <w:rFonts w:hint="default" w:ascii="宋体" w:hAnsi="宋体" w:eastAsia="宋体" w:cs="宋体"/>
          <w:sz w:val="24"/>
          <w:szCs w:val="24"/>
          <w:lang w:val="zh-TW"/>
        </w:rPr>
      </w:pPr>
      <w:r>
        <w:rPr>
          <w:rFonts w:ascii="宋体" w:hAnsi="宋体" w:eastAsia="宋体" w:cs="宋体"/>
          <w:sz w:val="24"/>
          <w:szCs w:val="24"/>
        </w:rPr>
        <w:t>4.本次招标活动坚持“公开、公正、公平，满足招标人要求、低价中标（性价比最优）”</w:t>
      </w:r>
      <w:r>
        <w:rPr>
          <w:rFonts w:ascii="宋体" w:hAnsi="宋体" w:eastAsia="宋体" w:cs="宋体"/>
          <w:sz w:val="24"/>
          <w:szCs w:val="24"/>
          <w:lang w:val="zh-TW"/>
        </w:rPr>
        <w:t>的原则。</w:t>
      </w:r>
    </w:p>
    <w:p>
      <w:pPr>
        <w:pStyle w:val="35"/>
        <w:widowControl/>
        <w:tabs>
          <w:tab w:val="left" w:pos="1150"/>
        </w:tabs>
        <w:spacing w:line="360" w:lineRule="auto"/>
        <w:rPr>
          <w:rFonts w:hint="default" w:ascii="宋体" w:hAnsi="宋体" w:eastAsia="宋体" w:cs="宋体"/>
          <w:sz w:val="24"/>
          <w:szCs w:val="24"/>
        </w:rPr>
      </w:pPr>
      <w:r>
        <w:rPr>
          <w:rFonts w:ascii="宋体" w:hAnsi="宋体" w:eastAsia="宋体" w:cs="宋体"/>
          <w:sz w:val="24"/>
          <w:szCs w:val="24"/>
          <w:lang w:val="zh-TW"/>
        </w:rPr>
        <w:t>5.招标文件编制说明：招标</w:t>
      </w:r>
      <w:r>
        <w:rPr>
          <w:rFonts w:ascii="宋体" w:hAnsi="宋体" w:eastAsia="宋体" w:cs="宋体"/>
          <w:sz w:val="24"/>
          <w:szCs w:val="24"/>
          <w:lang w:val="zh-TW" w:eastAsia="zh-TW"/>
        </w:rPr>
        <w:t>文件</w:t>
      </w:r>
      <w:r>
        <w:rPr>
          <w:rFonts w:ascii="宋体" w:hAnsi="宋体" w:eastAsia="宋体" w:cs="宋体"/>
          <w:sz w:val="24"/>
          <w:szCs w:val="24"/>
          <w:lang w:val="zh-TW"/>
        </w:rPr>
        <w:t>文字</w:t>
      </w:r>
      <w:r>
        <w:rPr>
          <w:rFonts w:ascii="宋体" w:hAnsi="宋体" w:eastAsia="宋体" w:cs="宋体"/>
          <w:sz w:val="24"/>
          <w:szCs w:val="24"/>
          <w:lang w:val="zh-TW" w:eastAsia="zh-TW"/>
        </w:rPr>
        <w:t>内容统一在word文档中编制</w:t>
      </w:r>
      <w:r>
        <w:rPr>
          <w:rFonts w:ascii="宋体" w:hAnsi="宋体" w:eastAsia="宋体" w:cs="宋体"/>
          <w:sz w:val="24"/>
          <w:szCs w:val="24"/>
          <w:lang w:val="zh-TW"/>
        </w:rPr>
        <w:t>：</w:t>
      </w:r>
      <w:r>
        <w:rPr>
          <w:rFonts w:ascii="宋体" w:hAnsi="宋体" w:eastAsia="宋体" w:cs="宋体"/>
          <w:sz w:val="24"/>
          <w:szCs w:val="24"/>
          <w:lang w:val="zh-TW" w:eastAsia="zh-TW"/>
        </w:rPr>
        <w:t>A4版式，正文字体为宋体</w:t>
      </w:r>
      <w:r>
        <w:rPr>
          <w:rFonts w:ascii="宋体" w:hAnsi="宋体" w:eastAsia="宋体" w:cs="宋体"/>
          <w:sz w:val="24"/>
          <w:szCs w:val="24"/>
          <w:lang w:val="zh-TW"/>
        </w:rPr>
        <w:t>小四</w:t>
      </w:r>
      <w:r>
        <w:rPr>
          <w:rFonts w:ascii="宋体" w:hAnsi="宋体" w:eastAsia="宋体" w:cs="宋体"/>
          <w:sz w:val="24"/>
          <w:szCs w:val="24"/>
          <w:lang w:val="zh-TW" w:eastAsia="zh-TW"/>
        </w:rPr>
        <w:t>号字，行间距1.5倍行距，段前段后设置为0；表格</w:t>
      </w:r>
      <w:r>
        <w:rPr>
          <w:rFonts w:ascii="宋体" w:hAnsi="宋体" w:eastAsia="宋体" w:cs="宋体"/>
          <w:sz w:val="24"/>
          <w:szCs w:val="24"/>
          <w:lang w:val="zh-TW"/>
        </w:rPr>
        <w:t>部分在excel文件中编制，</w:t>
      </w:r>
      <w:r>
        <w:rPr>
          <w:rFonts w:ascii="宋体" w:hAnsi="宋体" w:eastAsia="宋体" w:cs="宋体"/>
          <w:sz w:val="24"/>
          <w:szCs w:val="24"/>
          <w:lang w:val="zh-TW" w:eastAsia="zh-TW"/>
        </w:rPr>
        <w:t>字体为宋体小四或11号字，行间距为单倍行距</w:t>
      </w:r>
      <w:r>
        <w:rPr>
          <w:rFonts w:ascii="宋体" w:hAnsi="宋体" w:eastAsia="宋体" w:cs="宋体"/>
          <w:sz w:val="24"/>
          <w:szCs w:val="24"/>
          <w:lang w:val="zh-TW"/>
        </w:rPr>
        <w:t>。招标人需填写附件一至附件三，招标文件编制完成经审核后，交采购中心存档并进行发售。</w:t>
      </w:r>
    </w:p>
    <w:p>
      <w:pPr>
        <w:ind w:firstLine="0"/>
        <w:rPr>
          <w:u w:val="none"/>
        </w:rPr>
      </w:pPr>
      <w:r>
        <w:rPr>
          <w:rFonts w:hint="eastAsia" w:ascii="宋体" w:hAnsi="宋体" w:cs="宋体"/>
          <w:color w:val="000000"/>
          <w:kern w:val="2"/>
          <w:u w:val="none"/>
          <w:lang w:val="zh-TW"/>
        </w:rPr>
        <w:t>6.</w:t>
      </w:r>
      <w:r>
        <w:rPr>
          <w:rFonts w:hint="eastAsia"/>
          <w:u w:val="none"/>
        </w:rPr>
        <w:t>本招标文件适用范围为：太原重工股份有限公司和太原重型机械集团有限公司委托太原重工股份有限公司采购中心的项目（公司另有规定的除外），编制单位人员须按本格式编制招标文件。</w:t>
      </w:r>
    </w:p>
    <w:p>
      <w:pPr>
        <w:pStyle w:val="35"/>
        <w:widowControl/>
        <w:spacing w:before="120" w:after="120" w:line="360" w:lineRule="auto"/>
        <w:rPr>
          <w:rFonts w:hint="default" w:ascii="宋体" w:hAnsi="宋体" w:eastAsia="宋体" w:cs="宋体"/>
          <w:b/>
          <w:bCs/>
          <w:sz w:val="24"/>
          <w:szCs w:val="24"/>
        </w:rPr>
      </w:pPr>
    </w:p>
    <w:p>
      <w:pPr>
        <w:widowControl/>
        <w:snapToGrid/>
        <w:spacing w:line="240" w:lineRule="auto"/>
        <w:ind w:firstLine="0"/>
        <w:jc w:val="left"/>
        <w:rPr>
          <w:rFonts w:ascii="宋体" w:hAnsi="宋体" w:cs="宋体"/>
          <w:b/>
          <w:color w:val="000000"/>
          <w:kern w:val="2"/>
          <w:sz w:val="32"/>
          <w:szCs w:val="32"/>
          <w:u w:val="none"/>
        </w:rPr>
      </w:pPr>
      <w:bookmarkStart w:id="19" w:name="_Toc484762138"/>
      <w:r>
        <w:rPr>
          <w:rFonts w:ascii="宋体" w:hAnsi="宋体" w:cs="宋体"/>
          <w:b/>
          <w:sz w:val="32"/>
          <w:szCs w:val="32"/>
        </w:rPr>
        <w:br w:type="page"/>
      </w:r>
    </w:p>
    <w:p>
      <w:pPr>
        <w:pStyle w:val="3"/>
        <w:spacing w:before="120" w:line="360" w:lineRule="auto"/>
        <w:jc w:val="center"/>
        <w:outlineLvl w:val="0"/>
        <w:rPr>
          <w:rFonts w:cs="宋体" w:asciiTheme="majorEastAsia" w:hAnsiTheme="majorEastAsia" w:eastAsiaTheme="majorEastAsia"/>
          <w:b/>
          <w:sz w:val="32"/>
          <w:szCs w:val="32"/>
          <w:lang w:val="zh-TW" w:eastAsia="zh-TW"/>
        </w:rPr>
      </w:pPr>
      <w:bookmarkStart w:id="20" w:name="_Toc9707"/>
      <w:bookmarkStart w:id="21" w:name="_Toc489533299"/>
      <w:bookmarkStart w:id="22" w:name="_Toc489533787"/>
      <w:bookmarkStart w:id="23" w:name="_Toc2732"/>
      <w:r>
        <w:rPr>
          <w:rFonts w:cs="宋体" w:asciiTheme="majorEastAsia" w:hAnsiTheme="majorEastAsia" w:eastAsiaTheme="majorEastAsia"/>
          <w:b/>
          <w:sz w:val="32"/>
          <w:szCs w:val="32"/>
          <w:lang w:val="zh-TW" w:eastAsia="zh-TW"/>
        </w:rPr>
        <w:t>第三章招标项目范围及要求</w:t>
      </w:r>
      <w:bookmarkEnd w:id="19"/>
      <w:bookmarkEnd w:id="20"/>
      <w:bookmarkEnd w:id="21"/>
      <w:bookmarkEnd w:id="22"/>
      <w:bookmarkEnd w:id="23"/>
    </w:p>
    <w:p>
      <w:pPr>
        <w:pStyle w:val="4"/>
        <w:snapToGrid/>
        <w:ind w:firstLine="0"/>
        <w:rPr>
          <w:u w:val="none"/>
        </w:rPr>
      </w:pPr>
      <w:bookmarkStart w:id="24" w:name="_Toc489533788"/>
      <w:bookmarkStart w:id="25" w:name="_Toc7195"/>
      <w:bookmarkStart w:id="26" w:name="_Toc4432"/>
      <w:r>
        <w:rPr>
          <w:rFonts w:hint="eastAsia" w:asciiTheme="majorEastAsia" w:hAnsiTheme="majorEastAsia" w:eastAsiaTheme="majorEastAsia"/>
          <w:szCs w:val="24"/>
          <w:u w:val="none"/>
          <w:lang w:val="zh-TW"/>
        </w:rPr>
        <w:t>3.1</w:t>
      </w:r>
      <w:bookmarkEnd w:id="24"/>
      <w:r>
        <w:rPr>
          <w:rFonts w:hint="eastAsia" w:asciiTheme="majorEastAsia" w:hAnsiTheme="majorEastAsia" w:eastAsiaTheme="majorEastAsia"/>
          <w:szCs w:val="24"/>
          <w:u w:val="none"/>
        </w:rPr>
        <w:t xml:space="preserve"> 项目简介</w:t>
      </w:r>
      <w:bookmarkEnd w:id="25"/>
      <w:bookmarkEnd w:id="26"/>
    </w:p>
    <w:p>
      <w:pPr>
        <w:pStyle w:val="3"/>
        <w:spacing w:line="360" w:lineRule="auto"/>
        <w:ind w:firstLine="480"/>
        <w:rPr>
          <w:rFonts w:ascii="宋体" w:hAnsi="宋体" w:eastAsia="宋体" w:cs="宋体"/>
          <w:sz w:val="24"/>
          <w:szCs w:val="24"/>
        </w:rPr>
      </w:pPr>
      <w:r>
        <w:rPr>
          <w:rFonts w:hint="eastAsia" w:ascii="宋体" w:hAnsi="宋体" w:eastAsia="宋体" w:cs="宋体"/>
          <w:sz w:val="24"/>
          <w:szCs w:val="24"/>
        </w:rPr>
        <w:t>为进一步加强我公司资产评估机构备选库管理，规范资产评估机构选聘及使用，促进评估机构独立、客观、公正执业，维护出资人合法权益，本着“公开、公平、公正、择优”的原则，对太原重型机械集团有限公司资产评估机构备选库进行更新调整，现面向社会公开征集资产评估类、证券期货类、土地房地产类资产评估供应商。</w:t>
      </w:r>
    </w:p>
    <w:p>
      <w:pPr>
        <w:rPr>
          <w:rFonts w:ascii="宋体" w:hAnsi="宋体" w:cs="宋体"/>
          <w:u w:val="none"/>
        </w:rPr>
      </w:pPr>
      <w:r>
        <w:rPr>
          <w:rFonts w:hint="eastAsia" w:ascii="宋体" w:hAnsi="宋体" w:cs="宋体"/>
          <w:u w:val="none"/>
        </w:rPr>
        <w:t>3.1.1项目名称：太原重型机械集团有限公司公开选聘资产评估机构备选库项目。</w:t>
      </w:r>
    </w:p>
    <w:p>
      <w:pPr>
        <w:pStyle w:val="3"/>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3.1.2类型：资产评估服务采购。</w:t>
      </w:r>
    </w:p>
    <w:p>
      <w:pPr>
        <w:pStyle w:val="3"/>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3.1.3内容：根据省国资委《关于省属企业选聘资产评估有关事项的通知》（晋国资发[2013]48号）、省国资委《关于加强省属企业评估机构备选库管理有关事项的通知》（晋国资发[2016]11号）、省国资运营公司《国有资产评估管理暂行办法（试行）》（晋国资运营发[2020]37号）的有关要求，太原重型机械集团有限公司拟通过公开选聘的方式，调整更新资产评估机构备选库。</w:t>
      </w:r>
    </w:p>
    <w:p>
      <w:pPr>
        <w:pStyle w:val="3"/>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3.1.4服务地点：太原重型机械集团有限公司及其所属各级全资、控股或实际控制子公司。</w:t>
      </w:r>
    </w:p>
    <w:p>
      <w:pPr>
        <w:pStyle w:val="3"/>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3.1.5招标范围：公开选聘建立的资产评估机构备选库，根据所涉及到的资产评估业务的经济行为类型、规模、数量、业务复杂程度、所需评估资质等因素考虑，拟建立包含一般资产评估资质、证券期货资质、土地资质、房地产资质的综合性资产评估机构备选库。</w:t>
      </w:r>
    </w:p>
    <w:p>
      <w:pPr>
        <w:pStyle w:val="3"/>
        <w:spacing w:line="360" w:lineRule="auto"/>
        <w:outlineLvl w:val="1"/>
        <w:rPr>
          <w:rFonts w:asciiTheme="majorEastAsia" w:hAnsiTheme="majorEastAsia" w:eastAsiaTheme="majorEastAsia"/>
          <w:b/>
          <w:bCs/>
          <w:sz w:val="24"/>
          <w:szCs w:val="24"/>
        </w:rPr>
      </w:pPr>
      <w:bookmarkStart w:id="27" w:name="_Toc19286"/>
      <w:bookmarkStart w:id="28" w:name="_Toc1578"/>
      <w:r>
        <w:rPr>
          <w:rFonts w:hint="eastAsia" w:asciiTheme="majorEastAsia" w:hAnsiTheme="majorEastAsia" w:eastAsiaTheme="majorEastAsia"/>
          <w:b/>
          <w:bCs/>
          <w:sz w:val="24"/>
          <w:szCs w:val="24"/>
        </w:rPr>
        <w:t>3.2投标人资格条件</w:t>
      </w:r>
      <w:bookmarkEnd w:id="27"/>
      <w:bookmarkEnd w:id="28"/>
    </w:p>
    <w:p>
      <w:pPr>
        <w:pStyle w:val="3"/>
        <w:spacing w:line="360" w:lineRule="auto"/>
        <w:ind w:firstLine="480"/>
        <w:rPr>
          <w:rFonts w:ascii="宋体" w:hAnsi="宋体" w:eastAsia="宋体" w:cs="宋体"/>
          <w:sz w:val="24"/>
          <w:szCs w:val="24"/>
          <w:lang w:val="zh-TW"/>
        </w:rPr>
      </w:pPr>
      <w:r>
        <w:rPr>
          <w:rFonts w:hint="eastAsia" w:asciiTheme="majorEastAsia" w:hAnsiTheme="majorEastAsia" w:eastAsiaTheme="majorEastAsia"/>
          <w:sz w:val="24"/>
          <w:szCs w:val="24"/>
        </w:rPr>
        <w:t>3.2.1</w:t>
      </w:r>
      <w:r>
        <w:rPr>
          <w:rFonts w:hint="eastAsia" w:ascii="宋体" w:hAnsi="宋体" w:eastAsia="宋体" w:cs="宋体"/>
          <w:sz w:val="24"/>
          <w:szCs w:val="24"/>
          <w:lang w:val="zh-TW"/>
        </w:rPr>
        <w:t>依法设立，具有独立法人资格，连续正常执业3年以上。社会信用良好，“信用中国”网站（www.creditchina.gov.cn）未被列入失信被执行人名单，在“企业信用信息公示系统”(http://www.gsxt.gov.cn)中</w:t>
      </w:r>
      <w:r>
        <w:rPr>
          <w:rFonts w:hint="eastAsia" w:ascii="宋体" w:hAnsi="宋体" w:eastAsia="宋体" w:cs="宋体"/>
          <w:sz w:val="24"/>
          <w:szCs w:val="24"/>
        </w:rPr>
        <w:t>未被列入</w:t>
      </w:r>
      <w:r>
        <w:rPr>
          <w:rFonts w:hint="eastAsia" w:ascii="宋体" w:hAnsi="宋体" w:eastAsia="宋体" w:cs="宋体"/>
          <w:sz w:val="24"/>
          <w:szCs w:val="24"/>
          <w:lang w:val="zh-TW"/>
        </w:rPr>
        <w:t>严重违法失信企业名录。</w:t>
      </w:r>
    </w:p>
    <w:p>
      <w:pPr>
        <w:pStyle w:val="3"/>
        <w:spacing w:line="360" w:lineRule="auto"/>
        <w:ind w:firstLine="480"/>
        <w:rPr>
          <w:rFonts w:ascii="宋体" w:hAnsi="宋体" w:eastAsia="宋体" w:cs="宋体"/>
          <w:sz w:val="24"/>
          <w:szCs w:val="24"/>
        </w:rPr>
      </w:pPr>
      <w:r>
        <w:rPr>
          <w:rFonts w:hint="eastAsia" w:ascii="宋体" w:hAnsi="宋体" w:eastAsia="宋体" w:cs="宋体"/>
          <w:sz w:val="24"/>
          <w:szCs w:val="24"/>
        </w:rPr>
        <w:t>3.2.2供应商应遵守国家有关资产评估法律、行政法规等政策规定，严格履行法定职责，近三年内机构及其主要负责人无违法违规执业记录，在承担国有资产评估工作中未出现重大质量问题或不良记录。</w:t>
      </w:r>
    </w:p>
    <w:p>
      <w:pPr>
        <w:pStyle w:val="3"/>
        <w:spacing w:line="360" w:lineRule="auto"/>
        <w:ind w:firstLine="480"/>
        <w:rPr>
          <w:rFonts w:ascii="宋体" w:hAnsi="宋体" w:eastAsia="宋体" w:cs="宋体"/>
          <w:sz w:val="24"/>
          <w:szCs w:val="24"/>
        </w:rPr>
      </w:pPr>
      <w:r>
        <w:rPr>
          <w:rFonts w:hint="eastAsia" w:ascii="宋体" w:hAnsi="宋体" w:eastAsia="宋体" w:cs="宋体"/>
          <w:sz w:val="24"/>
          <w:szCs w:val="24"/>
        </w:rPr>
        <w:t>3.2.3掌握我公司所属重型机械行业的经济行为特点和相关市场信息，熟悉所在行业相关的法规、政策。</w:t>
      </w:r>
    </w:p>
    <w:p>
      <w:pPr>
        <w:pStyle w:val="3"/>
        <w:spacing w:line="360" w:lineRule="auto"/>
        <w:ind w:firstLine="480"/>
        <w:rPr>
          <w:rFonts w:ascii="宋体" w:hAnsi="宋体" w:eastAsia="宋体" w:cs="宋体"/>
          <w:sz w:val="24"/>
          <w:szCs w:val="24"/>
        </w:rPr>
      </w:pPr>
      <w:r>
        <w:rPr>
          <w:rFonts w:hint="eastAsia" w:ascii="宋体" w:hAnsi="宋体" w:eastAsia="宋体" w:cs="宋体"/>
          <w:sz w:val="24"/>
          <w:szCs w:val="24"/>
        </w:rPr>
        <w:t>3.2.4评估机构具备相应资质，具有政府有关部门颁发的资质证书，具体为：投标资产评估类业务的评估机构应当具备一般资产评估资质，投标证券</w:t>
      </w:r>
      <w:r>
        <w:rPr>
          <w:rFonts w:hint="eastAsia" w:ascii="宋体" w:hAnsi="宋体" w:eastAsia="宋体" w:cs="宋体"/>
          <w:sz w:val="24"/>
          <w:szCs w:val="24"/>
          <w:lang w:val="en-US" w:eastAsia="zh-CN"/>
        </w:rPr>
        <w:t>期货</w:t>
      </w:r>
      <w:r>
        <w:rPr>
          <w:rFonts w:hint="eastAsia" w:ascii="宋体" w:hAnsi="宋体" w:eastAsia="宋体" w:cs="宋体"/>
          <w:sz w:val="24"/>
          <w:szCs w:val="24"/>
        </w:rPr>
        <w:t>类评估业务的评估机构应当具备证券期货资质，投标土地类评估业务的评估机构应当具备土地估价资质；投标房地产类评估业务的评估机构应当具备房地产估价资质。执业人员具备法定执业资格，具有与我公司评估需求相适应的专业人员和专业特长。</w:t>
      </w:r>
    </w:p>
    <w:p>
      <w:pPr>
        <w:pStyle w:val="3"/>
        <w:spacing w:line="360" w:lineRule="auto"/>
        <w:ind w:firstLine="480"/>
        <w:rPr>
          <w:rFonts w:ascii="宋体" w:hAnsi="宋体" w:eastAsia="宋体" w:cs="宋体"/>
          <w:sz w:val="24"/>
          <w:szCs w:val="24"/>
        </w:rPr>
      </w:pPr>
      <w:r>
        <w:rPr>
          <w:rFonts w:hint="eastAsia" w:ascii="宋体" w:hAnsi="宋体" w:eastAsia="宋体" w:cs="宋体"/>
          <w:sz w:val="24"/>
          <w:szCs w:val="24"/>
        </w:rPr>
        <w:t>3.2.5机构内部管理制度健全，执业规范。具备健全、完善的内部质量控制体系，建有国有资产评估报告三级及三级以上审核制度。</w:t>
      </w:r>
    </w:p>
    <w:p>
      <w:pPr>
        <w:pStyle w:val="3"/>
        <w:spacing w:line="360" w:lineRule="auto"/>
        <w:ind w:firstLine="480"/>
        <w:rPr>
          <w:rFonts w:ascii="宋体" w:hAnsi="宋体" w:eastAsia="宋体" w:cs="宋体"/>
          <w:sz w:val="24"/>
          <w:szCs w:val="24"/>
        </w:rPr>
      </w:pPr>
      <w:r>
        <w:rPr>
          <w:rFonts w:hint="eastAsia" w:ascii="宋体" w:hAnsi="宋体" w:eastAsia="宋体" w:cs="宋体"/>
          <w:sz w:val="24"/>
          <w:szCs w:val="24"/>
        </w:rPr>
        <w:t>3.2.6财务状况良好，需提供近一年的财务报表复印件（仅须包含审计报告封面至签字页，资产负债表、利润表及现金流量表）。</w:t>
      </w:r>
    </w:p>
    <w:p>
      <w:pPr>
        <w:pStyle w:val="3"/>
        <w:spacing w:line="360" w:lineRule="auto"/>
        <w:ind w:firstLine="480"/>
        <w:rPr>
          <w:rFonts w:ascii="宋体" w:hAnsi="宋体" w:eastAsia="宋体" w:cs="宋体"/>
          <w:sz w:val="24"/>
          <w:szCs w:val="24"/>
        </w:rPr>
      </w:pPr>
      <w:r>
        <w:rPr>
          <w:rFonts w:hint="eastAsia" w:ascii="宋体" w:hAnsi="宋体" w:eastAsia="宋体" w:cs="宋体"/>
          <w:sz w:val="24"/>
          <w:szCs w:val="24"/>
        </w:rPr>
        <w:t>3.2.7与企业负责人无经济利益关系。</w:t>
      </w:r>
    </w:p>
    <w:p>
      <w:pPr>
        <w:pStyle w:val="3"/>
        <w:spacing w:line="360" w:lineRule="auto"/>
        <w:ind w:firstLine="480"/>
        <w:rPr>
          <w:rFonts w:ascii="宋体" w:hAnsi="宋体" w:eastAsia="宋体" w:cs="宋体"/>
          <w:sz w:val="24"/>
          <w:szCs w:val="24"/>
        </w:rPr>
      </w:pPr>
      <w:r>
        <w:rPr>
          <w:rFonts w:hint="eastAsia" w:ascii="宋体" w:hAnsi="宋体" w:eastAsia="宋体" w:cs="宋体"/>
          <w:sz w:val="24"/>
          <w:szCs w:val="24"/>
        </w:rPr>
        <w:t>3.2.8按国家职业继续教育的有关规定对执业人员进行继续教育。</w:t>
      </w:r>
    </w:p>
    <w:p>
      <w:pPr>
        <w:pStyle w:val="3"/>
        <w:spacing w:line="360" w:lineRule="auto"/>
        <w:ind w:firstLine="480"/>
        <w:rPr>
          <w:rFonts w:ascii="宋体" w:hAnsi="宋体" w:eastAsia="宋体" w:cs="宋体"/>
          <w:sz w:val="24"/>
          <w:szCs w:val="24"/>
        </w:rPr>
      </w:pPr>
      <w:r>
        <w:rPr>
          <w:rFonts w:hint="eastAsia" w:ascii="宋体" w:hAnsi="宋体" w:eastAsia="宋体" w:cs="宋体"/>
          <w:sz w:val="24"/>
          <w:szCs w:val="24"/>
        </w:rPr>
        <w:t>3.2.9评估机构及其人员为采购方提供评估报告审核、专业培训授课、专业咨询等服务。</w:t>
      </w:r>
    </w:p>
    <w:p>
      <w:pPr>
        <w:pStyle w:val="3"/>
        <w:spacing w:line="360" w:lineRule="auto"/>
        <w:ind w:firstLine="480"/>
        <w:rPr>
          <w:rFonts w:ascii="宋体" w:hAnsi="宋体" w:eastAsia="宋体" w:cs="宋体"/>
          <w:sz w:val="24"/>
          <w:szCs w:val="24"/>
        </w:rPr>
      </w:pPr>
      <w:r>
        <w:rPr>
          <w:rFonts w:hint="eastAsia" w:ascii="宋体" w:hAnsi="宋体" w:eastAsia="宋体" w:cs="宋体"/>
          <w:sz w:val="24"/>
          <w:szCs w:val="24"/>
        </w:rPr>
        <w:t>3.2.10服务方案具体合理可行有针对性，服务承诺具体合理，能够满足本公司在评估业务中的时间性及质量要求。</w:t>
      </w:r>
    </w:p>
    <w:p>
      <w:pPr>
        <w:pStyle w:val="3"/>
        <w:spacing w:line="360" w:lineRule="auto"/>
        <w:ind w:firstLine="480"/>
        <w:rPr>
          <w:rFonts w:ascii="宋体" w:hAnsi="宋体" w:eastAsia="宋体" w:cs="宋体"/>
          <w:sz w:val="24"/>
          <w:szCs w:val="24"/>
        </w:rPr>
      </w:pPr>
      <w:r>
        <w:rPr>
          <w:rFonts w:hint="eastAsia" w:ascii="宋体" w:hAnsi="宋体" w:eastAsia="宋体" w:cs="宋体"/>
          <w:sz w:val="24"/>
          <w:szCs w:val="24"/>
        </w:rPr>
        <w:t>3.2.11本项目不接受联合体投标。</w:t>
      </w:r>
    </w:p>
    <w:p>
      <w:pPr>
        <w:pStyle w:val="3"/>
        <w:spacing w:line="360" w:lineRule="auto"/>
        <w:ind w:firstLine="480"/>
        <w:rPr>
          <w:rFonts w:ascii="宋体" w:hAnsi="宋体" w:eastAsia="宋体" w:cs="宋体"/>
          <w:sz w:val="24"/>
          <w:szCs w:val="24"/>
        </w:rPr>
      </w:pPr>
      <w:r>
        <w:rPr>
          <w:rFonts w:hint="eastAsia" w:ascii="宋体" w:hAnsi="宋体" w:eastAsia="宋体" w:cs="宋体"/>
          <w:sz w:val="24"/>
          <w:szCs w:val="24"/>
        </w:rPr>
        <w:t>3.2.12本项目不允许分包。</w:t>
      </w:r>
    </w:p>
    <w:p>
      <w:pPr>
        <w:pStyle w:val="3"/>
        <w:spacing w:line="360" w:lineRule="auto"/>
        <w:ind w:firstLine="480"/>
        <w:rPr>
          <w:rFonts w:ascii="宋体" w:hAnsi="宋体" w:eastAsia="宋体" w:cs="宋体"/>
          <w:sz w:val="24"/>
          <w:szCs w:val="24"/>
        </w:rPr>
      </w:pPr>
      <w:r>
        <w:rPr>
          <w:rFonts w:hint="eastAsia" w:ascii="宋体" w:hAnsi="宋体" w:eastAsia="宋体" w:cs="宋体"/>
          <w:sz w:val="24"/>
          <w:szCs w:val="24"/>
        </w:rPr>
        <w:t>3.2.13单位负责人为同一人或者存在控股、管理关系的不同单位，不得参加同一标段投标或者未划分标段的同一招标项目投标。</w:t>
      </w:r>
    </w:p>
    <w:p>
      <w:pPr>
        <w:pStyle w:val="3"/>
        <w:spacing w:line="360" w:lineRule="auto"/>
        <w:ind w:firstLine="480"/>
        <w:rPr>
          <w:rFonts w:ascii="宋体" w:hAnsi="宋体" w:eastAsia="宋体" w:cs="宋体"/>
          <w:sz w:val="24"/>
          <w:szCs w:val="24"/>
        </w:rPr>
      </w:pPr>
      <w:r>
        <w:rPr>
          <w:rFonts w:hint="eastAsia" w:ascii="宋体" w:hAnsi="宋体" w:eastAsia="宋体" w:cs="宋体"/>
          <w:sz w:val="24"/>
          <w:szCs w:val="24"/>
        </w:rPr>
        <w:t>3.2.14投标人没有处于被责令停业，投标资格被取消，财产被接管、冻结、破产状态。</w:t>
      </w:r>
    </w:p>
    <w:p>
      <w:pPr>
        <w:pStyle w:val="3"/>
        <w:spacing w:line="360" w:lineRule="auto"/>
        <w:outlineLvl w:val="1"/>
        <w:rPr>
          <w:rFonts w:ascii="宋体" w:hAnsi="宋体" w:eastAsia="宋体" w:cs="宋体"/>
          <w:b/>
          <w:bCs/>
          <w:sz w:val="24"/>
          <w:szCs w:val="24"/>
        </w:rPr>
      </w:pPr>
      <w:bookmarkStart w:id="29" w:name="_Toc11537"/>
      <w:bookmarkStart w:id="30" w:name="_Toc22483"/>
      <w:r>
        <w:rPr>
          <w:rFonts w:hint="eastAsia" w:ascii="宋体" w:hAnsi="宋体" w:eastAsia="宋体" w:cs="宋体"/>
          <w:b/>
          <w:bCs/>
          <w:sz w:val="24"/>
          <w:szCs w:val="24"/>
        </w:rPr>
        <w:t>3.3投标方义务</w:t>
      </w:r>
      <w:bookmarkEnd w:id="29"/>
      <w:bookmarkEnd w:id="30"/>
    </w:p>
    <w:p>
      <w:pPr>
        <w:pStyle w:val="3"/>
        <w:spacing w:line="360" w:lineRule="auto"/>
        <w:rPr>
          <w:rFonts w:ascii="宋体" w:hAnsi="宋体" w:eastAsia="宋体" w:cs="宋体"/>
          <w:sz w:val="24"/>
          <w:szCs w:val="24"/>
        </w:rPr>
      </w:pPr>
      <w:r>
        <w:rPr>
          <w:rFonts w:hint="eastAsia" w:ascii="宋体" w:hAnsi="宋体" w:eastAsia="宋体" w:cs="宋体"/>
          <w:sz w:val="24"/>
          <w:szCs w:val="24"/>
        </w:rPr>
        <w:t xml:space="preserve">    3.3.1.进入资产评估机构备选库的评估机构，发生以下事项应在10个工作日内以书面形式向我公司报告：</w:t>
      </w:r>
    </w:p>
    <w:p>
      <w:pPr>
        <w:pStyle w:val="3"/>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（1）合并、分立、解散。</w:t>
      </w:r>
    </w:p>
    <w:p>
      <w:pPr>
        <w:pStyle w:val="3"/>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（2）法人代表及负责人更换、注册资本变更。</w:t>
      </w:r>
    </w:p>
    <w:p>
      <w:pPr>
        <w:pStyle w:val="3"/>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（3）从业资质和执业人员发生变动，对执业能力产生影响。</w:t>
      </w:r>
    </w:p>
    <w:p>
      <w:pPr>
        <w:pStyle w:val="3"/>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（4）办公场所、联系电话、联系人发生变化的。</w:t>
      </w:r>
    </w:p>
    <w:p>
      <w:pPr>
        <w:pStyle w:val="3"/>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（5）评估机构涉及诉讼等事项的。</w:t>
      </w:r>
    </w:p>
    <w:p>
      <w:pPr>
        <w:pStyle w:val="3"/>
        <w:spacing w:line="360" w:lineRule="auto"/>
        <w:ind w:left="480" w:leftChars="200"/>
        <w:rPr>
          <w:rFonts w:ascii="宋体" w:hAnsi="宋体" w:eastAsia="宋体" w:cs="宋体"/>
          <w:sz w:val="24"/>
          <w:szCs w:val="24"/>
        </w:rPr>
      </w:pPr>
      <w:r>
        <w:rPr>
          <w:rFonts w:hint="eastAsia" w:ascii="宋体" w:hAnsi="宋体" w:eastAsia="宋体" w:cs="宋体"/>
          <w:sz w:val="24"/>
          <w:szCs w:val="24"/>
        </w:rPr>
        <w:t>（6）评估机构因违法违规执业等因素受到行政处罚或行业协会惩戒的。3.3.2有下列情形之一的评估机构，自事实发现之日起退出备选库：</w:t>
      </w:r>
    </w:p>
    <w:p>
      <w:pPr>
        <w:pStyle w:val="3"/>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（1）已不符合评估机构备选库入选条件的。</w:t>
      </w:r>
    </w:p>
    <w:p>
      <w:pPr>
        <w:pStyle w:val="3"/>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（2）未根据项目实际情况派出数量足够、具备相应执业能力的评估师，致使不能按时完成项目委托业务的。</w:t>
      </w:r>
    </w:p>
    <w:p>
      <w:pPr>
        <w:pStyle w:val="3"/>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（3）执业水平、执业质量不高，其出具的评估执业报告经审查有重大质量问题或与实际情况严重不符的。</w:t>
      </w:r>
    </w:p>
    <w:p>
      <w:pPr>
        <w:pStyle w:val="3"/>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（4）工作失误或管理不善造成重大损失的。</w:t>
      </w:r>
    </w:p>
    <w:p>
      <w:pPr>
        <w:pStyle w:val="3"/>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（5）泄露国家机密和企业商业秘密的。</w:t>
      </w:r>
    </w:p>
    <w:p>
      <w:pPr>
        <w:pStyle w:val="3"/>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（6）发现有弄虚作假、恶意串通等不诚实行为的，或近三年来有违规违法行为的。</w:t>
      </w:r>
    </w:p>
    <w:p>
      <w:pPr>
        <w:pStyle w:val="3"/>
        <w:spacing w:line="360" w:lineRule="auto"/>
        <w:ind w:firstLine="480"/>
        <w:rPr>
          <w:rFonts w:ascii="宋体" w:hAnsi="宋体" w:eastAsia="宋体" w:cs="宋体"/>
          <w:sz w:val="24"/>
          <w:szCs w:val="24"/>
        </w:rPr>
      </w:pPr>
      <w:r>
        <w:rPr>
          <w:rFonts w:hint="eastAsia" w:ascii="宋体" w:hAnsi="宋体" w:eastAsia="宋体" w:cs="宋体"/>
          <w:sz w:val="24"/>
          <w:szCs w:val="24"/>
        </w:rPr>
        <w:t>（7）受聘评估机构将本公司评估项目转包、分包。</w:t>
      </w:r>
    </w:p>
    <w:p>
      <w:pPr>
        <w:pStyle w:val="3"/>
        <w:spacing w:line="360" w:lineRule="auto"/>
        <w:ind w:firstLine="480"/>
        <w:rPr>
          <w:rFonts w:ascii="宋体" w:hAnsi="宋体" w:eastAsia="宋体" w:cs="宋体"/>
          <w:sz w:val="24"/>
          <w:szCs w:val="24"/>
        </w:rPr>
      </w:pPr>
      <w:r>
        <w:rPr>
          <w:rFonts w:hint="eastAsia" w:ascii="宋体" w:hAnsi="宋体" w:eastAsia="宋体" w:cs="宋体"/>
          <w:sz w:val="24"/>
          <w:szCs w:val="24"/>
        </w:rPr>
        <w:t>（8）分别接受利益冲突双方的委托，对同一评估对象进行评估的。</w:t>
      </w:r>
    </w:p>
    <w:p>
      <w:pPr>
        <w:pStyle w:val="3"/>
        <w:spacing w:line="360" w:lineRule="auto"/>
        <w:ind w:firstLine="480"/>
        <w:rPr>
          <w:rFonts w:ascii="宋体" w:hAnsi="宋体" w:eastAsia="宋体" w:cs="宋体"/>
          <w:sz w:val="24"/>
          <w:szCs w:val="24"/>
        </w:rPr>
      </w:pPr>
      <w:r>
        <w:rPr>
          <w:rFonts w:hint="eastAsia" w:ascii="宋体" w:hAnsi="宋体" w:eastAsia="宋体" w:cs="宋体"/>
          <w:sz w:val="24"/>
          <w:szCs w:val="24"/>
        </w:rPr>
        <w:t>（9）企业评估项目接受省国资委、省国资运营公司等上级单位部门监督检查时，不配合相关工作的。</w:t>
      </w:r>
    </w:p>
    <w:p>
      <w:pPr>
        <w:pStyle w:val="3"/>
        <w:spacing w:line="360" w:lineRule="auto"/>
        <w:ind w:firstLine="480"/>
        <w:rPr>
          <w:rFonts w:ascii="宋体" w:hAnsi="宋体" w:eastAsia="宋体" w:cs="宋体"/>
          <w:sz w:val="24"/>
          <w:szCs w:val="24"/>
        </w:rPr>
      </w:pPr>
      <w:r>
        <w:rPr>
          <w:rFonts w:hint="eastAsia" w:ascii="宋体" w:hAnsi="宋体" w:eastAsia="宋体" w:cs="宋体"/>
          <w:sz w:val="24"/>
          <w:szCs w:val="24"/>
        </w:rPr>
        <w:t>（10）因违法违规执业受到政府监管部门或行业协会监管处罚，情节严重的。</w:t>
      </w:r>
    </w:p>
    <w:p>
      <w:pPr>
        <w:pStyle w:val="3"/>
        <w:spacing w:line="360" w:lineRule="auto"/>
        <w:outlineLvl w:val="1"/>
        <w:rPr>
          <w:rFonts w:ascii="宋体" w:hAnsi="宋体" w:eastAsia="宋体" w:cs="宋体"/>
          <w:b/>
          <w:bCs/>
          <w:sz w:val="24"/>
          <w:szCs w:val="24"/>
        </w:rPr>
      </w:pPr>
      <w:bookmarkStart w:id="31" w:name="_Toc12934"/>
      <w:bookmarkStart w:id="32" w:name="_Toc2856"/>
      <w:r>
        <w:rPr>
          <w:rFonts w:hint="eastAsia" w:ascii="宋体" w:hAnsi="宋体" w:eastAsia="宋体" w:cs="宋体"/>
          <w:b/>
          <w:bCs/>
          <w:sz w:val="24"/>
          <w:szCs w:val="24"/>
        </w:rPr>
        <w:t>3.4费用承担</w:t>
      </w:r>
      <w:bookmarkEnd w:id="31"/>
      <w:bookmarkEnd w:id="32"/>
    </w:p>
    <w:p>
      <w:pPr>
        <w:pStyle w:val="3"/>
        <w:spacing w:line="360" w:lineRule="auto"/>
        <w:ind w:firstLine="480"/>
        <w:rPr>
          <w:rFonts w:ascii="宋体" w:hAnsi="宋体" w:eastAsia="宋体" w:cs="宋体"/>
          <w:sz w:val="24"/>
          <w:szCs w:val="24"/>
        </w:rPr>
      </w:pPr>
      <w:r>
        <w:rPr>
          <w:rFonts w:ascii="宋体" w:hAnsi="宋体" w:eastAsia="宋体" w:cs="宋体"/>
          <w:sz w:val="24"/>
          <w:szCs w:val="24"/>
        </w:rPr>
        <w:t>供应商准备和参加</w:t>
      </w:r>
      <w:r>
        <w:rPr>
          <w:rFonts w:hint="eastAsia" w:ascii="宋体" w:hAnsi="宋体" w:eastAsia="宋体" w:cs="宋体"/>
          <w:sz w:val="24"/>
          <w:szCs w:val="24"/>
        </w:rPr>
        <w:t>公开招标</w:t>
      </w:r>
      <w:r>
        <w:rPr>
          <w:rFonts w:ascii="宋体" w:hAnsi="宋体" w:eastAsia="宋体" w:cs="宋体"/>
          <w:sz w:val="24"/>
          <w:szCs w:val="24"/>
        </w:rPr>
        <w:t>活动所发生的各种费用由供应商自行承担。</w:t>
      </w:r>
    </w:p>
    <w:p>
      <w:pPr>
        <w:pStyle w:val="3"/>
        <w:spacing w:line="360" w:lineRule="auto"/>
        <w:outlineLvl w:val="1"/>
        <w:rPr>
          <w:rFonts w:ascii="宋体" w:hAnsi="宋体" w:eastAsia="宋体" w:cs="宋体"/>
          <w:sz w:val="24"/>
          <w:szCs w:val="24"/>
        </w:rPr>
      </w:pPr>
      <w:bookmarkStart w:id="33" w:name="_Toc30164"/>
      <w:bookmarkStart w:id="34" w:name="_Toc3832"/>
      <w:r>
        <w:rPr>
          <w:rFonts w:hint="eastAsia" w:ascii="宋体" w:hAnsi="宋体" w:eastAsia="宋体" w:cs="宋体"/>
          <w:b/>
          <w:bCs/>
          <w:sz w:val="24"/>
          <w:szCs w:val="24"/>
        </w:rPr>
        <w:t>3.5保密</w:t>
      </w:r>
      <w:bookmarkEnd w:id="33"/>
      <w:bookmarkEnd w:id="34"/>
    </w:p>
    <w:p>
      <w:pPr>
        <w:pStyle w:val="3"/>
        <w:spacing w:line="360" w:lineRule="auto"/>
        <w:ind w:firstLine="480" w:firstLineChars="200"/>
        <w:rPr>
          <w:rFonts w:ascii="宋体" w:hAnsi="宋体" w:eastAsia="宋体" w:cs="宋体"/>
          <w:sz w:val="24"/>
          <w:szCs w:val="24"/>
        </w:rPr>
      </w:pPr>
      <w:r>
        <w:rPr>
          <w:rFonts w:ascii="宋体" w:hAnsi="宋体" w:eastAsia="宋体" w:cs="宋体"/>
          <w:sz w:val="24"/>
          <w:szCs w:val="24"/>
        </w:rPr>
        <w:t>参加</w:t>
      </w:r>
      <w:r>
        <w:rPr>
          <w:rFonts w:hint="eastAsia" w:ascii="宋体" w:hAnsi="宋体" w:eastAsia="宋体" w:cs="宋体"/>
          <w:sz w:val="24"/>
          <w:szCs w:val="24"/>
        </w:rPr>
        <w:t>招标</w:t>
      </w:r>
      <w:r>
        <w:rPr>
          <w:rFonts w:ascii="宋体" w:hAnsi="宋体" w:eastAsia="宋体" w:cs="宋体"/>
          <w:sz w:val="24"/>
          <w:szCs w:val="24"/>
        </w:rPr>
        <w:t>的各方应对</w:t>
      </w:r>
      <w:r>
        <w:rPr>
          <w:rFonts w:hint="eastAsia" w:ascii="宋体" w:hAnsi="宋体" w:eastAsia="宋体" w:cs="宋体"/>
          <w:sz w:val="24"/>
          <w:szCs w:val="24"/>
        </w:rPr>
        <w:t>招标</w:t>
      </w:r>
      <w:r>
        <w:rPr>
          <w:rFonts w:ascii="宋体" w:hAnsi="宋体" w:eastAsia="宋体" w:cs="宋体"/>
          <w:sz w:val="24"/>
          <w:szCs w:val="24"/>
        </w:rPr>
        <w:t>文件和响应文件中的商业和技术等秘密保密，否则应承担相应的法律责任。</w:t>
      </w:r>
    </w:p>
    <w:p>
      <w:pPr>
        <w:pStyle w:val="3"/>
        <w:spacing w:line="360" w:lineRule="auto"/>
        <w:outlineLvl w:val="1"/>
        <w:rPr>
          <w:rFonts w:ascii="宋体" w:hAnsi="宋体" w:eastAsia="宋体" w:cs="宋体"/>
          <w:b/>
          <w:bCs/>
          <w:sz w:val="24"/>
          <w:szCs w:val="24"/>
        </w:rPr>
      </w:pPr>
      <w:bookmarkStart w:id="35" w:name="_Toc29053"/>
      <w:bookmarkStart w:id="36" w:name="_Toc10856"/>
      <w:r>
        <w:rPr>
          <w:rFonts w:hint="eastAsia" w:ascii="宋体" w:hAnsi="宋体" w:eastAsia="宋体" w:cs="宋体"/>
          <w:b/>
          <w:bCs/>
          <w:sz w:val="24"/>
          <w:szCs w:val="24"/>
        </w:rPr>
        <w:t>3.6语言文字</w:t>
      </w:r>
      <w:bookmarkEnd w:id="35"/>
      <w:bookmarkEnd w:id="36"/>
    </w:p>
    <w:p>
      <w:pPr>
        <w:pStyle w:val="3"/>
        <w:spacing w:line="360" w:lineRule="auto"/>
        <w:ind w:firstLine="480" w:firstLineChars="200"/>
        <w:rPr>
          <w:rFonts w:ascii="宋体" w:hAnsi="宋体" w:eastAsia="宋体" w:cs="宋体"/>
          <w:sz w:val="24"/>
          <w:szCs w:val="24"/>
        </w:rPr>
      </w:pPr>
      <w:r>
        <w:rPr>
          <w:rFonts w:ascii="宋体" w:hAnsi="宋体" w:eastAsia="宋体" w:cs="宋体"/>
          <w:sz w:val="24"/>
          <w:szCs w:val="24"/>
        </w:rPr>
        <w:t>招标投标文件使用的语言文字为中文。专用术语使用外文的，应附有中文注释。</w:t>
      </w:r>
    </w:p>
    <w:p>
      <w:pPr>
        <w:pStyle w:val="3"/>
        <w:spacing w:line="360" w:lineRule="auto"/>
        <w:outlineLvl w:val="1"/>
        <w:rPr>
          <w:rFonts w:ascii="宋体" w:hAnsi="宋体" w:eastAsia="宋体" w:cs="宋体"/>
          <w:b/>
          <w:bCs/>
          <w:sz w:val="24"/>
          <w:szCs w:val="24"/>
        </w:rPr>
      </w:pPr>
      <w:bookmarkStart w:id="37" w:name="_Toc26500"/>
      <w:bookmarkStart w:id="38" w:name="_Toc26406"/>
      <w:r>
        <w:rPr>
          <w:rFonts w:hint="eastAsia" w:ascii="宋体" w:hAnsi="宋体" w:eastAsia="宋体" w:cs="宋体"/>
          <w:b/>
          <w:bCs/>
          <w:sz w:val="24"/>
          <w:szCs w:val="24"/>
        </w:rPr>
        <w:t>3.7计量单位</w:t>
      </w:r>
      <w:bookmarkEnd w:id="37"/>
      <w:bookmarkEnd w:id="38"/>
    </w:p>
    <w:p>
      <w:pPr>
        <w:pStyle w:val="3"/>
        <w:spacing w:line="360" w:lineRule="auto"/>
        <w:ind w:firstLine="480" w:firstLineChars="200"/>
        <w:rPr>
          <w:rFonts w:ascii="宋体" w:hAnsi="宋体" w:eastAsia="宋体" w:cs="宋体"/>
          <w:sz w:val="24"/>
          <w:szCs w:val="24"/>
        </w:rPr>
      </w:pPr>
      <w:r>
        <w:rPr>
          <w:rFonts w:ascii="宋体" w:hAnsi="宋体" w:eastAsia="宋体" w:cs="宋体"/>
          <w:sz w:val="24"/>
          <w:szCs w:val="24"/>
        </w:rPr>
        <w:t>所有计量均采用中华人民共和国法定计量单位。</w:t>
      </w:r>
    </w:p>
    <w:p>
      <w:pPr>
        <w:pStyle w:val="5"/>
        <w:keepNext w:val="0"/>
        <w:keepLines w:val="0"/>
        <w:snapToGrid/>
        <w:spacing w:before="0" w:after="0" w:line="360" w:lineRule="auto"/>
        <w:ind w:left="419" w:hanging="419" w:hangingChars="174"/>
      </w:pPr>
      <w:bookmarkStart w:id="39" w:name="_Toc24494"/>
      <w:bookmarkStart w:id="40" w:name="_Toc13915"/>
      <w:r>
        <w:rPr>
          <w:rFonts w:hint="eastAsia"/>
          <w:kern w:val="2"/>
          <w:sz w:val="24"/>
          <w:u w:val="none"/>
        </w:rPr>
        <w:t>3.8响应</w:t>
      </w:r>
      <w:bookmarkEnd w:id="39"/>
      <w:bookmarkEnd w:id="40"/>
    </w:p>
    <w:p>
      <w:pPr>
        <w:snapToGrid/>
        <w:rPr>
          <w:rFonts w:ascii="宋体" w:hAnsi="宋体"/>
          <w:kern w:val="2"/>
          <w:u w:val="none"/>
        </w:rPr>
      </w:pPr>
      <w:r>
        <w:rPr>
          <w:rFonts w:hint="eastAsia" w:ascii="宋体" w:hAnsi="宋体"/>
          <w:kern w:val="2"/>
          <w:u w:val="none"/>
        </w:rPr>
        <w:t>3.</w:t>
      </w:r>
      <w:r>
        <w:rPr>
          <w:rFonts w:ascii="宋体" w:hAnsi="宋体"/>
          <w:kern w:val="2"/>
          <w:u w:val="none"/>
        </w:rPr>
        <w:t>8</w:t>
      </w:r>
      <w:r>
        <w:rPr>
          <w:rFonts w:hint="eastAsia" w:ascii="宋体" w:hAnsi="宋体"/>
          <w:kern w:val="2"/>
          <w:u w:val="none"/>
        </w:rPr>
        <w:t>.1投标文件应当对招标文件的实质性要求和条件作出满足性或更有利于招标人的响应，否则，投标人的投标将被否决。</w:t>
      </w:r>
    </w:p>
    <w:p>
      <w:pPr>
        <w:snapToGrid/>
        <w:rPr>
          <w:rFonts w:ascii="宋体" w:hAnsi="宋体"/>
          <w:kern w:val="2"/>
          <w:u w:val="none"/>
        </w:rPr>
      </w:pPr>
      <w:r>
        <w:rPr>
          <w:rFonts w:hint="eastAsia" w:ascii="宋体" w:hAnsi="宋体"/>
          <w:kern w:val="2"/>
          <w:u w:val="none"/>
        </w:rPr>
        <w:t>3.</w:t>
      </w:r>
      <w:r>
        <w:rPr>
          <w:rFonts w:ascii="宋体" w:hAnsi="宋体"/>
          <w:kern w:val="2"/>
          <w:u w:val="none"/>
        </w:rPr>
        <w:t>8</w:t>
      </w:r>
      <w:r>
        <w:rPr>
          <w:rFonts w:hint="eastAsia" w:ascii="宋体" w:hAnsi="宋体"/>
          <w:kern w:val="2"/>
          <w:u w:val="none"/>
        </w:rPr>
        <w:t>.2投标人应根据招标文件的要求提供投标方案等内容以对招标文件作出响应。</w:t>
      </w:r>
    </w:p>
    <w:p>
      <w:pPr>
        <w:rPr>
          <w:rFonts w:ascii="宋体" w:hAnsi="宋体"/>
          <w:kern w:val="2"/>
          <w:u w:val="none"/>
        </w:rPr>
      </w:pPr>
      <w:r>
        <w:rPr>
          <w:rFonts w:hint="eastAsia" w:ascii="宋体" w:hAnsi="宋体"/>
          <w:kern w:val="2"/>
          <w:u w:val="none"/>
        </w:rPr>
        <w:br w:type="page"/>
      </w:r>
    </w:p>
    <w:p>
      <w:pPr>
        <w:pStyle w:val="3"/>
        <w:spacing w:before="120" w:line="360" w:lineRule="auto"/>
        <w:ind w:firstLine="3213" w:firstLineChars="1000"/>
        <w:outlineLvl w:val="0"/>
        <w:rPr>
          <w:rFonts w:cs="宋体" w:asciiTheme="majorEastAsia" w:hAnsiTheme="majorEastAsia" w:eastAsiaTheme="majorEastAsia"/>
          <w:b/>
          <w:sz w:val="32"/>
          <w:szCs w:val="32"/>
          <w:lang w:val="zh-TW" w:eastAsia="zh-TW"/>
        </w:rPr>
      </w:pPr>
      <w:bookmarkStart w:id="41" w:name="_Toc28478"/>
      <w:bookmarkStart w:id="42" w:name="_Toc489533300"/>
      <w:bookmarkStart w:id="43" w:name="_Toc23042"/>
      <w:bookmarkStart w:id="44" w:name="_Toc489533792"/>
      <w:r>
        <w:rPr>
          <w:rFonts w:hint="eastAsia" w:cs="宋体" w:asciiTheme="majorEastAsia" w:hAnsiTheme="majorEastAsia" w:eastAsiaTheme="majorEastAsia"/>
          <w:b/>
          <w:sz w:val="32"/>
          <w:szCs w:val="32"/>
          <w:lang w:val="zh-TW" w:eastAsia="zh-TW"/>
        </w:rPr>
        <w:t>第四章  投标须知</w:t>
      </w:r>
      <w:bookmarkEnd w:id="41"/>
      <w:bookmarkEnd w:id="42"/>
      <w:bookmarkEnd w:id="43"/>
      <w:bookmarkEnd w:id="44"/>
    </w:p>
    <w:p>
      <w:pPr>
        <w:pStyle w:val="4"/>
        <w:ind w:firstLine="0"/>
        <w:rPr>
          <w:u w:val="none"/>
          <w:lang w:val="zh-TW"/>
        </w:rPr>
      </w:pPr>
      <w:bookmarkStart w:id="45" w:name="_Toc1221"/>
      <w:bookmarkStart w:id="46" w:name="_Toc489533794"/>
      <w:bookmarkStart w:id="47" w:name="_Toc5562"/>
      <w:r>
        <w:rPr>
          <w:u w:val="none"/>
          <w:lang w:val="zh-TW"/>
        </w:rPr>
        <w:t>4.</w:t>
      </w:r>
      <w:r>
        <w:rPr>
          <w:rFonts w:hint="eastAsia"/>
          <w:u w:val="none"/>
          <w:lang w:val="zh-TW"/>
        </w:rPr>
        <w:t>1</w:t>
      </w:r>
      <w:r>
        <w:rPr>
          <w:u w:val="none"/>
          <w:lang w:val="zh-TW"/>
        </w:rPr>
        <w:t>投标文件的编制</w:t>
      </w:r>
      <w:bookmarkEnd w:id="45"/>
      <w:bookmarkEnd w:id="46"/>
      <w:bookmarkEnd w:id="47"/>
    </w:p>
    <w:p>
      <w:pPr>
        <w:pStyle w:val="35"/>
        <w:widowControl/>
        <w:spacing w:line="360" w:lineRule="auto"/>
        <w:ind w:left="459"/>
        <w:rPr>
          <w:rFonts w:hint="default" w:ascii="宋体" w:hAnsi="宋体" w:eastAsia="宋体" w:cs="宋体"/>
          <w:b/>
          <w:bCs/>
          <w:sz w:val="24"/>
          <w:szCs w:val="24"/>
        </w:rPr>
      </w:pPr>
      <w:r>
        <w:rPr>
          <w:rFonts w:ascii="宋体" w:hAnsi="宋体" w:eastAsia="宋体" w:cs="宋体"/>
          <w:sz w:val="24"/>
          <w:szCs w:val="24"/>
        </w:rPr>
        <w:t>4.1.1投标文件应当包括以下内容：</w:t>
      </w:r>
    </w:p>
    <w:p>
      <w:pPr>
        <w:pStyle w:val="35"/>
        <w:widowControl/>
        <w:spacing w:line="360" w:lineRule="auto"/>
        <w:ind w:left="459"/>
        <w:rPr>
          <w:rFonts w:hint="default" w:ascii="宋体" w:hAnsi="宋体" w:eastAsia="宋体" w:cs="宋体"/>
          <w:b/>
          <w:bCs/>
          <w:sz w:val="24"/>
          <w:szCs w:val="24"/>
        </w:rPr>
      </w:pPr>
      <w:r>
        <w:rPr>
          <w:rFonts w:ascii="宋体" w:hAnsi="宋体" w:eastAsia="宋体" w:cs="宋体"/>
          <w:sz w:val="24"/>
          <w:szCs w:val="24"/>
          <w:lang w:val="zh-TW" w:eastAsia="zh-TW"/>
        </w:rPr>
        <w:t>（1）投标函（</w:t>
      </w:r>
      <w:r>
        <w:rPr>
          <w:rFonts w:ascii="宋体" w:hAnsi="宋体" w:eastAsia="宋体" w:cs="宋体"/>
          <w:b/>
          <w:sz w:val="24"/>
          <w:szCs w:val="24"/>
          <w:lang w:val="zh-TW" w:eastAsia="zh-TW"/>
        </w:rPr>
        <w:t>格式见</w:t>
      </w:r>
      <w:r>
        <w:rPr>
          <w:rFonts w:ascii="宋体" w:hAnsi="宋体" w:eastAsia="宋体" w:cs="宋体"/>
          <w:b/>
          <w:sz w:val="24"/>
          <w:szCs w:val="24"/>
          <w:lang w:val="zh-TW"/>
        </w:rPr>
        <w:t>6</w:t>
      </w:r>
      <w:r>
        <w:rPr>
          <w:rFonts w:ascii="宋体" w:hAnsi="宋体" w:eastAsia="宋体" w:cs="宋体"/>
          <w:b/>
          <w:sz w:val="24"/>
          <w:szCs w:val="24"/>
          <w:lang w:val="zh-TW" w:eastAsia="zh-TW"/>
        </w:rPr>
        <w:t>.1</w:t>
      </w:r>
      <w:r>
        <w:rPr>
          <w:rFonts w:ascii="宋体" w:hAnsi="宋体" w:eastAsia="宋体" w:cs="宋体"/>
          <w:sz w:val="24"/>
          <w:szCs w:val="24"/>
          <w:lang w:val="zh-TW" w:eastAsia="zh-TW"/>
        </w:rPr>
        <w:t>）</w:t>
      </w:r>
      <w:r>
        <w:rPr>
          <w:rFonts w:ascii="宋体" w:hAnsi="宋体" w:eastAsia="宋体" w:cs="宋体"/>
          <w:sz w:val="24"/>
          <w:szCs w:val="24"/>
          <w:lang w:val="zh-TW"/>
        </w:rPr>
        <w:t>。</w:t>
      </w:r>
    </w:p>
    <w:p>
      <w:pPr>
        <w:pStyle w:val="35"/>
        <w:widowControl/>
        <w:spacing w:line="360" w:lineRule="auto"/>
        <w:ind w:firstLine="458" w:firstLineChars="191"/>
        <w:rPr>
          <w:rFonts w:hint="default" w:ascii="宋体" w:hAnsi="宋体" w:eastAsia="宋体" w:cs="宋体"/>
          <w:sz w:val="24"/>
          <w:szCs w:val="24"/>
          <w:lang w:val="zh-TW"/>
        </w:rPr>
      </w:pPr>
      <w:r>
        <w:rPr>
          <w:rFonts w:ascii="宋体" w:hAnsi="宋体" w:eastAsia="宋体" w:cs="宋体"/>
          <w:sz w:val="24"/>
          <w:szCs w:val="24"/>
          <w:lang w:val="zh-TW" w:eastAsia="zh-TW"/>
        </w:rPr>
        <w:t>（2）法定代表人授权书</w:t>
      </w:r>
      <w:r>
        <w:rPr>
          <w:rFonts w:ascii="宋体" w:hAnsi="宋体" w:eastAsia="宋体" w:cs="宋体"/>
          <w:sz w:val="24"/>
          <w:szCs w:val="24"/>
          <w:lang w:val="zh-TW"/>
        </w:rPr>
        <w:t>、被</w:t>
      </w:r>
      <w:r>
        <w:rPr>
          <w:rFonts w:ascii="宋体" w:hAnsi="宋体" w:eastAsia="宋体" w:cs="宋体"/>
          <w:sz w:val="24"/>
          <w:szCs w:val="24"/>
          <w:lang w:val="zh-TW" w:eastAsia="zh-TW"/>
        </w:rPr>
        <w:t>授权</w:t>
      </w:r>
      <w:r>
        <w:rPr>
          <w:rFonts w:ascii="宋体" w:hAnsi="宋体" w:eastAsia="宋体" w:cs="宋体"/>
          <w:sz w:val="24"/>
          <w:szCs w:val="24"/>
          <w:lang w:val="zh-TW"/>
        </w:rPr>
        <w:t>人</w:t>
      </w:r>
      <w:r>
        <w:rPr>
          <w:rFonts w:ascii="宋体" w:hAnsi="宋体" w:eastAsia="宋体" w:cs="宋体"/>
          <w:sz w:val="24"/>
          <w:szCs w:val="24"/>
          <w:lang w:val="zh-TW" w:eastAsia="zh-TW"/>
        </w:rPr>
        <w:t>身份证</w:t>
      </w:r>
      <w:r>
        <w:rPr>
          <w:rFonts w:ascii="宋体" w:hAnsi="宋体" w:eastAsia="宋体" w:cs="宋体"/>
          <w:sz w:val="24"/>
          <w:szCs w:val="24"/>
          <w:lang w:val="zh-TW"/>
        </w:rPr>
        <w:t>复印件</w:t>
      </w:r>
      <w:r>
        <w:rPr>
          <w:rFonts w:ascii="宋体" w:hAnsi="宋体" w:eastAsia="宋体" w:cs="宋体"/>
          <w:sz w:val="24"/>
          <w:szCs w:val="24"/>
          <w:lang w:val="zh-TW" w:eastAsia="zh-TW"/>
        </w:rPr>
        <w:t>（非法定代表人参加时）、法定代表人身份证</w:t>
      </w:r>
      <w:r>
        <w:rPr>
          <w:rFonts w:ascii="宋体" w:hAnsi="宋体" w:eastAsia="宋体" w:cs="宋体"/>
          <w:sz w:val="24"/>
          <w:szCs w:val="24"/>
          <w:lang w:val="zh-TW"/>
        </w:rPr>
        <w:t>复印件。</w:t>
      </w:r>
    </w:p>
    <w:p>
      <w:pPr>
        <w:pStyle w:val="35"/>
        <w:widowControl/>
        <w:spacing w:line="360" w:lineRule="auto"/>
        <w:ind w:firstLine="458" w:firstLineChars="191"/>
        <w:rPr>
          <w:rFonts w:hint="default" w:ascii="宋体" w:hAnsi="宋体" w:eastAsia="宋体" w:cs="宋体"/>
          <w:color w:val="auto"/>
          <w:sz w:val="24"/>
          <w:szCs w:val="24"/>
          <w:lang w:val="zh-TW"/>
        </w:rPr>
      </w:pPr>
      <w:r>
        <w:rPr>
          <w:rFonts w:ascii="宋体" w:hAnsi="宋体" w:eastAsia="宋体" w:cs="宋体"/>
          <w:color w:val="auto"/>
          <w:sz w:val="24"/>
          <w:szCs w:val="24"/>
          <w:lang w:val="zh-TW"/>
        </w:rPr>
        <w:t>（</w:t>
      </w:r>
      <w:r>
        <w:rPr>
          <w:rFonts w:ascii="宋体" w:hAnsi="宋体" w:eastAsia="宋体" w:cs="宋体"/>
          <w:color w:val="auto"/>
          <w:sz w:val="24"/>
          <w:szCs w:val="24"/>
        </w:rPr>
        <w:t>3</w:t>
      </w:r>
      <w:r>
        <w:rPr>
          <w:rFonts w:ascii="宋体" w:hAnsi="宋体" w:eastAsia="宋体" w:cs="宋体"/>
          <w:color w:val="auto"/>
          <w:sz w:val="24"/>
          <w:szCs w:val="24"/>
          <w:lang w:val="zh-TW"/>
        </w:rPr>
        <w:t>）</w:t>
      </w:r>
      <w:r>
        <w:rPr>
          <w:rFonts w:ascii="宋体" w:hAnsi="宋体" w:eastAsia="宋体" w:cs="宋体"/>
          <w:color w:val="auto"/>
          <w:sz w:val="24"/>
          <w:szCs w:val="24"/>
        </w:rPr>
        <w:t>资产评估机构入库申请表</w:t>
      </w:r>
      <w:r>
        <w:rPr>
          <w:rFonts w:ascii="宋体" w:hAnsi="宋体" w:eastAsia="宋体" w:cs="宋体"/>
          <w:color w:val="auto"/>
          <w:sz w:val="24"/>
          <w:szCs w:val="24"/>
          <w:lang w:val="zh-TW"/>
        </w:rPr>
        <w:t>。</w:t>
      </w:r>
    </w:p>
    <w:p>
      <w:pPr>
        <w:pStyle w:val="35"/>
        <w:widowControl/>
        <w:spacing w:line="360" w:lineRule="auto"/>
        <w:ind w:firstLine="458" w:firstLineChars="191"/>
        <w:rPr>
          <w:rFonts w:hint="default" w:ascii="宋体" w:hAnsi="宋体" w:eastAsia="宋体" w:cs="宋体"/>
          <w:b/>
          <w:bCs/>
          <w:color w:val="auto"/>
          <w:sz w:val="24"/>
          <w:szCs w:val="24"/>
        </w:rPr>
      </w:pPr>
      <w:r>
        <w:rPr>
          <w:rFonts w:ascii="宋体" w:hAnsi="宋体" w:eastAsia="宋体" w:cs="宋体"/>
          <w:color w:val="auto"/>
          <w:sz w:val="24"/>
          <w:szCs w:val="24"/>
          <w:lang w:val="zh-TW" w:eastAsia="zh-TW"/>
        </w:rPr>
        <w:t>（</w:t>
      </w:r>
      <w:r>
        <w:rPr>
          <w:rFonts w:ascii="宋体" w:hAnsi="宋体" w:eastAsia="宋体" w:cs="宋体"/>
          <w:color w:val="auto"/>
          <w:sz w:val="24"/>
          <w:szCs w:val="24"/>
        </w:rPr>
        <w:t>4</w:t>
      </w:r>
      <w:r>
        <w:rPr>
          <w:rFonts w:ascii="宋体" w:hAnsi="宋体" w:eastAsia="宋体" w:cs="宋体"/>
          <w:color w:val="auto"/>
          <w:sz w:val="24"/>
          <w:szCs w:val="24"/>
          <w:lang w:val="zh-TW" w:eastAsia="zh-TW"/>
        </w:rPr>
        <w:t>）</w:t>
      </w:r>
      <w:r>
        <w:rPr>
          <w:rFonts w:ascii="宋体" w:hAnsi="宋体" w:eastAsia="宋体" w:cs="宋体"/>
          <w:color w:val="auto"/>
          <w:sz w:val="24"/>
          <w:szCs w:val="24"/>
        </w:rPr>
        <w:t>资格、</w:t>
      </w:r>
      <w:r>
        <w:rPr>
          <w:rFonts w:ascii="宋体" w:hAnsi="宋体" w:eastAsia="宋体" w:cs="宋体"/>
          <w:color w:val="auto"/>
          <w:sz w:val="24"/>
          <w:szCs w:val="24"/>
          <w:lang w:val="zh-TW" w:eastAsia="zh-TW"/>
        </w:rPr>
        <w:t>资质证明文件：</w:t>
      </w:r>
    </w:p>
    <w:p>
      <w:pPr>
        <w:pStyle w:val="35"/>
        <w:widowControl/>
        <w:spacing w:line="360" w:lineRule="auto"/>
        <w:ind w:firstLine="960" w:firstLineChars="400"/>
        <w:rPr>
          <w:rFonts w:hint="default" w:ascii="宋体" w:hAnsi="宋体" w:eastAsia="宋体" w:cs="宋体"/>
          <w:color w:val="auto"/>
          <w:sz w:val="24"/>
          <w:szCs w:val="24"/>
        </w:rPr>
      </w:pPr>
      <w:r>
        <w:rPr>
          <w:rFonts w:ascii="宋体" w:hAnsi="宋体" w:eastAsia="宋体" w:cs="宋体"/>
          <w:color w:val="auto"/>
          <w:sz w:val="24"/>
          <w:szCs w:val="24"/>
          <w:lang w:val="zh-TW" w:eastAsia="zh-TW"/>
        </w:rPr>
        <w:t>营业执照（副本）</w:t>
      </w:r>
    </w:p>
    <w:p>
      <w:pPr>
        <w:pStyle w:val="35"/>
        <w:widowControl/>
        <w:spacing w:line="360" w:lineRule="auto"/>
        <w:ind w:left="960"/>
        <w:rPr>
          <w:rFonts w:hint="default" w:ascii="宋体" w:hAnsi="宋体" w:eastAsia="宋体" w:cs="宋体"/>
          <w:color w:val="auto"/>
          <w:sz w:val="24"/>
          <w:szCs w:val="24"/>
        </w:rPr>
      </w:pPr>
      <w:r>
        <w:rPr>
          <w:rFonts w:ascii="宋体" w:hAnsi="宋体" w:eastAsia="宋体" w:cs="宋体"/>
          <w:color w:val="auto"/>
          <w:sz w:val="24"/>
          <w:szCs w:val="24"/>
          <w:lang w:val="zh-TW" w:eastAsia="zh-TW"/>
        </w:rPr>
        <w:t>基本账户开户许可证（副本）</w:t>
      </w:r>
    </w:p>
    <w:p>
      <w:pPr>
        <w:pStyle w:val="35"/>
        <w:widowControl/>
        <w:spacing w:line="360" w:lineRule="auto"/>
        <w:ind w:left="960"/>
        <w:rPr>
          <w:rFonts w:hint="default" w:ascii="宋体" w:hAnsi="宋体" w:eastAsia="宋体" w:cs="宋体"/>
          <w:color w:val="auto"/>
          <w:sz w:val="24"/>
          <w:szCs w:val="24"/>
        </w:rPr>
      </w:pPr>
      <w:r>
        <w:rPr>
          <w:rFonts w:ascii="宋体" w:hAnsi="宋体" w:eastAsia="宋体" w:cs="宋体"/>
          <w:color w:val="auto"/>
          <w:sz w:val="24"/>
          <w:szCs w:val="24"/>
        </w:rPr>
        <w:t>应聘机构相关执业资格证书或者备案文件</w:t>
      </w:r>
    </w:p>
    <w:p>
      <w:pPr>
        <w:pStyle w:val="35"/>
        <w:widowControl/>
        <w:spacing w:line="360" w:lineRule="auto"/>
        <w:ind w:left="960"/>
        <w:rPr>
          <w:rFonts w:hint="default" w:ascii="宋体" w:hAnsi="宋体" w:eastAsia="宋体" w:cs="宋体"/>
          <w:color w:val="auto"/>
          <w:sz w:val="24"/>
          <w:szCs w:val="24"/>
          <w:lang w:val="zh-TW" w:eastAsia="zh-TW"/>
        </w:rPr>
      </w:pPr>
      <w:r>
        <w:rPr>
          <w:rFonts w:hint="default" w:ascii="宋体" w:hAnsi="宋体" w:eastAsia="宋体" w:cs="宋体"/>
          <w:color w:val="auto"/>
          <w:sz w:val="24"/>
          <w:szCs w:val="24"/>
        </w:rPr>
        <w:t>信用中国截图，</w:t>
      </w:r>
      <w:r>
        <w:rPr>
          <w:rFonts w:ascii="宋体" w:hAnsi="宋体" w:eastAsia="宋体" w:cs="宋体"/>
          <w:color w:val="auto"/>
          <w:sz w:val="24"/>
          <w:szCs w:val="24"/>
          <w:lang w:val="zh-TW"/>
        </w:rPr>
        <w:t>企业信用信息公示系统截图</w:t>
      </w:r>
    </w:p>
    <w:p>
      <w:pPr>
        <w:pStyle w:val="35"/>
        <w:widowControl/>
        <w:spacing w:line="360" w:lineRule="auto"/>
        <w:ind w:firstLine="480" w:firstLineChars="200"/>
        <w:rPr>
          <w:rFonts w:hint="default" w:ascii="宋体" w:hAnsi="宋体" w:eastAsia="宋体" w:cs="宋体"/>
          <w:color w:val="auto"/>
          <w:sz w:val="24"/>
          <w:szCs w:val="24"/>
          <w:lang w:val="zh-TW"/>
        </w:rPr>
      </w:pPr>
      <w:r>
        <w:rPr>
          <w:rFonts w:ascii="宋体" w:hAnsi="宋体" w:eastAsia="宋体" w:cs="宋体"/>
          <w:color w:val="auto"/>
          <w:sz w:val="24"/>
          <w:szCs w:val="24"/>
          <w:lang w:val="zh-TW" w:eastAsia="zh-TW"/>
        </w:rPr>
        <w:t>注</w:t>
      </w:r>
      <w:r>
        <w:rPr>
          <w:rFonts w:ascii="宋体" w:hAnsi="宋体" w:eastAsia="宋体" w:cs="宋体"/>
          <w:color w:val="auto"/>
          <w:sz w:val="24"/>
          <w:szCs w:val="24"/>
        </w:rPr>
        <w:t>1</w:t>
      </w:r>
      <w:r>
        <w:rPr>
          <w:rFonts w:ascii="宋体" w:hAnsi="宋体" w:eastAsia="宋体" w:cs="宋体"/>
          <w:color w:val="auto"/>
          <w:sz w:val="24"/>
          <w:szCs w:val="24"/>
          <w:lang w:val="zh-TW"/>
        </w:rPr>
        <w:t>.</w:t>
      </w:r>
      <w:r>
        <w:rPr>
          <w:rFonts w:ascii="宋体" w:hAnsi="宋体" w:eastAsia="宋体" w:cs="宋体"/>
          <w:color w:val="auto"/>
          <w:sz w:val="24"/>
          <w:szCs w:val="24"/>
          <w:lang w:val="zh-TW" w:eastAsia="zh-TW"/>
        </w:rPr>
        <w:t>以上资质文件需提供复印件并加盖公章</w:t>
      </w:r>
      <w:r>
        <w:rPr>
          <w:rFonts w:ascii="宋体" w:hAnsi="宋体" w:eastAsia="宋体" w:cs="宋体"/>
          <w:color w:val="auto"/>
          <w:sz w:val="24"/>
          <w:szCs w:val="24"/>
          <w:lang w:val="zh-TW"/>
        </w:rPr>
        <w:t>或投标专用章。</w:t>
      </w:r>
    </w:p>
    <w:p>
      <w:pPr>
        <w:pStyle w:val="35"/>
        <w:widowControl/>
        <w:spacing w:line="360" w:lineRule="auto"/>
        <w:ind w:firstLine="480" w:firstLineChars="200"/>
        <w:rPr>
          <w:rFonts w:hint="default" w:ascii="宋体" w:hAnsi="宋体" w:eastAsia="宋体" w:cs="宋体"/>
          <w:color w:val="auto"/>
          <w:sz w:val="24"/>
          <w:szCs w:val="24"/>
          <w:lang w:val="zh-TW"/>
        </w:rPr>
      </w:pPr>
      <w:r>
        <w:rPr>
          <w:rFonts w:ascii="宋体" w:hAnsi="宋体" w:eastAsia="宋体" w:cs="宋体"/>
          <w:color w:val="auto"/>
          <w:sz w:val="24"/>
          <w:szCs w:val="24"/>
          <w:lang w:val="zh-TW"/>
        </w:rPr>
        <w:t>（</w:t>
      </w:r>
      <w:r>
        <w:rPr>
          <w:rFonts w:ascii="宋体" w:hAnsi="宋体" w:eastAsia="宋体" w:cs="宋体"/>
          <w:color w:val="auto"/>
          <w:sz w:val="24"/>
          <w:szCs w:val="24"/>
        </w:rPr>
        <w:t>5</w:t>
      </w:r>
      <w:r>
        <w:rPr>
          <w:rFonts w:ascii="宋体" w:hAnsi="宋体" w:eastAsia="宋体" w:cs="宋体"/>
          <w:color w:val="auto"/>
          <w:sz w:val="24"/>
          <w:szCs w:val="24"/>
          <w:lang w:val="zh-TW"/>
        </w:rPr>
        <w:t>）应聘机构基本情况简介，内容主要包括：</w:t>
      </w:r>
    </w:p>
    <w:p>
      <w:pPr>
        <w:pStyle w:val="35"/>
        <w:widowControl/>
        <w:spacing w:line="360" w:lineRule="auto"/>
        <w:ind w:firstLine="720" w:firstLineChars="300"/>
        <w:rPr>
          <w:rFonts w:hint="default" w:ascii="宋体" w:hAnsi="宋体" w:eastAsia="宋体" w:cs="宋体"/>
          <w:color w:val="auto"/>
          <w:sz w:val="24"/>
          <w:szCs w:val="24"/>
          <w:lang w:val="zh-TW"/>
        </w:rPr>
      </w:pPr>
      <w:r>
        <w:rPr>
          <w:rFonts w:ascii="宋体" w:hAnsi="宋体" w:eastAsia="宋体" w:cs="宋体"/>
          <w:color w:val="auto"/>
          <w:sz w:val="24"/>
          <w:szCs w:val="24"/>
          <w:lang w:val="zh-TW"/>
        </w:rPr>
        <w:t>1）公司历史沿革、人员构成、组织机构、部门设置和近三年行业内业绩表现（</w:t>
      </w:r>
      <w:r>
        <w:rPr>
          <w:rFonts w:ascii="宋体" w:hAnsi="宋体" w:eastAsia="宋体" w:cs="宋体"/>
          <w:color w:val="auto"/>
          <w:sz w:val="24"/>
          <w:szCs w:val="24"/>
        </w:rPr>
        <w:t>如是否为省属企业评估库成员单位</w:t>
      </w:r>
      <w:r>
        <w:rPr>
          <w:rFonts w:ascii="宋体" w:hAnsi="宋体" w:eastAsia="宋体" w:cs="宋体"/>
          <w:color w:val="auto"/>
          <w:sz w:val="24"/>
          <w:szCs w:val="24"/>
          <w:lang w:val="zh-TW"/>
        </w:rPr>
        <w:t>），</w:t>
      </w:r>
      <w:r>
        <w:rPr>
          <w:rFonts w:ascii="宋体" w:hAnsi="宋体" w:eastAsia="宋体" w:cs="宋体"/>
          <w:color w:val="auto"/>
          <w:sz w:val="24"/>
          <w:szCs w:val="24"/>
        </w:rPr>
        <w:t>获得的荣誉并附有印证材料</w:t>
      </w:r>
      <w:r>
        <w:rPr>
          <w:rFonts w:ascii="宋体" w:hAnsi="宋体" w:eastAsia="宋体" w:cs="宋体"/>
          <w:color w:val="auto"/>
          <w:sz w:val="24"/>
          <w:szCs w:val="24"/>
          <w:lang w:val="zh-TW"/>
        </w:rPr>
        <w:t>等。</w:t>
      </w:r>
    </w:p>
    <w:p>
      <w:pPr>
        <w:pStyle w:val="35"/>
        <w:widowControl/>
        <w:spacing w:line="360" w:lineRule="auto"/>
        <w:ind w:firstLine="720" w:firstLineChars="300"/>
        <w:rPr>
          <w:rFonts w:hint="default" w:ascii="宋体" w:hAnsi="宋体" w:eastAsia="宋体" w:cs="宋体"/>
          <w:color w:val="auto"/>
          <w:sz w:val="24"/>
          <w:szCs w:val="24"/>
        </w:rPr>
      </w:pPr>
      <w:r>
        <w:rPr>
          <w:rFonts w:ascii="宋体" w:hAnsi="宋体" w:eastAsia="宋体" w:cs="宋体"/>
          <w:color w:val="auto"/>
          <w:sz w:val="24"/>
          <w:szCs w:val="24"/>
        </w:rPr>
        <w:t>2）执业人员名单，执业人员须提供执业资格证书证明复印件。</w:t>
      </w:r>
    </w:p>
    <w:p>
      <w:pPr>
        <w:pStyle w:val="35"/>
        <w:widowControl/>
        <w:spacing w:line="360" w:lineRule="auto"/>
        <w:ind w:firstLine="720" w:firstLineChars="300"/>
        <w:rPr>
          <w:rFonts w:hint="default" w:ascii="宋体" w:hAnsi="宋体" w:eastAsia="宋体" w:cs="宋体"/>
          <w:color w:val="auto"/>
          <w:sz w:val="24"/>
          <w:szCs w:val="24"/>
          <w:lang w:val="zh-TW"/>
        </w:rPr>
      </w:pPr>
      <w:r>
        <w:rPr>
          <w:rFonts w:ascii="宋体" w:hAnsi="宋体" w:eastAsia="宋体" w:cs="宋体"/>
          <w:color w:val="auto"/>
          <w:sz w:val="24"/>
          <w:szCs w:val="24"/>
        </w:rPr>
        <w:t>3</w:t>
      </w:r>
      <w:r>
        <w:rPr>
          <w:rFonts w:ascii="宋体" w:hAnsi="宋体" w:eastAsia="宋体" w:cs="宋体"/>
          <w:color w:val="auto"/>
          <w:sz w:val="24"/>
          <w:szCs w:val="24"/>
          <w:lang w:val="zh-TW"/>
        </w:rPr>
        <w:t>）主要制度，如质量控制制度、</w:t>
      </w:r>
      <w:r>
        <w:rPr>
          <w:rFonts w:ascii="宋体" w:hAnsi="宋体" w:eastAsia="宋体" w:cs="宋体"/>
          <w:color w:val="auto"/>
          <w:sz w:val="24"/>
          <w:szCs w:val="24"/>
        </w:rPr>
        <w:t>风险控制制度</w:t>
      </w:r>
      <w:r>
        <w:rPr>
          <w:rFonts w:ascii="宋体" w:hAnsi="宋体" w:eastAsia="宋体" w:cs="宋体"/>
          <w:color w:val="auto"/>
          <w:sz w:val="24"/>
          <w:szCs w:val="24"/>
          <w:lang w:val="zh-TW"/>
        </w:rPr>
        <w:t>等。</w:t>
      </w:r>
    </w:p>
    <w:p>
      <w:pPr>
        <w:pStyle w:val="35"/>
        <w:widowControl/>
        <w:spacing w:line="360" w:lineRule="auto"/>
        <w:ind w:firstLine="720" w:firstLineChars="300"/>
        <w:rPr>
          <w:rFonts w:hint="default" w:ascii="宋体" w:hAnsi="宋体" w:eastAsia="宋体" w:cs="宋体"/>
          <w:color w:val="auto"/>
          <w:sz w:val="24"/>
          <w:szCs w:val="24"/>
          <w:lang w:val="zh-TW"/>
        </w:rPr>
      </w:pPr>
      <w:r>
        <w:rPr>
          <w:rFonts w:ascii="宋体" w:hAnsi="宋体" w:eastAsia="宋体" w:cs="宋体"/>
          <w:color w:val="auto"/>
          <w:sz w:val="24"/>
          <w:szCs w:val="24"/>
        </w:rPr>
        <w:t>4</w:t>
      </w:r>
      <w:r>
        <w:rPr>
          <w:rFonts w:ascii="宋体" w:hAnsi="宋体" w:eastAsia="宋体" w:cs="宋体"/>
          <w:color w:val="auto"/>
          <w:sz w:val="24"/>
          <w:szCs w:val="24"/>
          <w:lang w:val="zh-TW"/>
        </w:rPr>
        <w:t>）机构内部报告审查流程及质量保障措施。</w:t>
      </w:r>
    </w:p>
    <w:p>
      <w:pPr>
        <w:pStyle w:val="35"/>
        <w:widowControl/>
        <w:spacing w:line="360" w:lineRule="auto"/>
        <w:ind w:firstLine="720" w:firstLineChars="300"/>
        <w:rPr>
          <w:rFonts w:hint="default" w:ascii="宋体" w:hAnsi="宋体" w:eastAsia="宋体" w:cs="宋体"/>
          <w:color w:val="auto"/>
          <w:sz w:val="24"/>
          <w:szCs w:val="24"/>
          <w:lang w:val="zh-TW"/>
        </w:rPr>
      </w:pPr>
      <w:r>
        <w:rPr>
          <w:rFonts w:ascii="宋体" w:hAnsi="宋体" w:eastAsia="宋体" w:cs="宋体"/>
          <w:color w:val="auto"/>
          <w:sz w:val="24"/>
          <w:szCs w:val="24"/>
        </w:rPr>
        <w:t>6</w:t>
      </w:r>
      <w:r>
        <w:rPr>
          <w:rFonts w:ascii="宋体" w:hAnsi="宋体" w:eastAsia="宋体" w:cs="宋体"/>
          <w:color w:val="auto"/>
          <w:sz w:val="24"/>
          <w:szCs w:val="24"/>
          <w:lang w:val="zh-TW"/>
        </w:rPr>
        <w:t>）机构内部执业人员作为省国资委、省国资运营公司或者省属企业专家库成员情况。</w:t>
      </w:r>
    </w:p>
    <w:p>
      <w:pPr>
        <w:pStyle w:val="35"/>
        <w:widowControl/>
        <w:spacing w:line="360" w:lineRule="auto"/>
        <w:ind w:firstLine="720" w:firstLineChars="300"/>
        <w:rPr>
          <w:rFonts w:hint="default" w:ascii="宋体" w:hAnsi="宋体" w:eastAsia="宋体" w:cs="宋体"/>
          <w:color w:val="auto"/>
          <w:sz w:val="24"/>
          <w:szCs w:val="24"/>
          <w:lang w:val="zh-TW"/>
        </w:rPr>
      </w:pPr>
      <w:r>
        <w:rPr>
          <w:rFonts w:ascii="宋体" w:hAnsi="宋体" w:eastAsia="宋体" w:cs="宋体"/>
          <w:color w:val="auto"/>
          <w:sz w:val="24"/>
          <w:szCs w:val="24"/>
        </w:rPr>
        <w:t>7</w:t>
      </w:r>
      <w:r>
        <w:rPr>
          <w:rFonts w:ascii="宋体" w:hAnsi="宋体" w:eastAsia="宋体" w:cs="宋体"/>
          <w:color w:val="auto"/>
          <w:sz w:val="24"/>
          <w:szCs w:val="24"/>
          <w:lang w:val="zh-TW"/>
        </w:rPr>
        <w:t>）近</w:t>
      </w:r>
      <w:r>
        <w:rPr>
          <w:rFonts w:ascii="宋体" w:hAnsi="宋体" w:eastAsia="宋体" w:cs="宋体"/>
          <w:color w:val="auto"/>
          <w:sz w:val="24"/>
          <w:szCs w:val="24"/>
        </w:rPr>
        <w:t>一</w:t>
      </w:r>
      <w:r>
        <w:rPr>
          <w:rFonts w:ascii="宋体" w:hAnsi="宋体" w:eastAsia="宋体" w:cs="宋体"/>
          <w:color w:val="auto"/>
          <w:sz w:val="24"/>
          <w:szCs w:val="24"/>
          <w:lang w:val="zh-TW"/>
        </w:rPr>
        <w:t>年主要财务状况，</w:t>
      </w:r>
      <w:r>
        <w:rPr>
          <w:rFonts w:ascii="宋体" w:hAnsi="宋体" w:eastAsia="宋体" w:cs="宋体"/>
          <w:color w:val="auto"/>
          <w:sz w:val="24"/>
          <w:szCs w:val="24"/>
        </w:rPr>
        <w:t>需</w:t>
      </w:r>
      <w:r>
        <w:rPr>
          <w:rFonts w:ascii="宋体" w:hAnsi="宋体" w:eastAsia="宋体" w:cs="宋体"/>
          <w:color w:val="auto"/>
          <w:sz w:val="24"/>
          <w:szCs w:val="24"/>
          <w:lang w:val="zh-TW"/>
        </w:rPr>
        <w:t>提供近一年的财务报表复印件（仅须包含审计报告封面至签字页，资产负债表、利润表及现金流量表）。</w:t>
      </w:r>
    </w:p>
    <w:p>
      <w:pPr>
        <w:pStyle w:val="35"/>
        <w:widowControl/>
        <w:spacing w:line="360" w:lineRule="auto"/>
        <w:ind w:firstLine="720" w:firstLineChars="300"/>
        <w:rPr>
          <w:rFonts w:hint="default" w:ascii="宋体" w:hAnsi="宋体" w:eastAsia="宋体" w:cs="宋体"/>
          <w:color w:val="auto"/>
          <w:sz w:val="24"/>
          <w:szCs w:val="24"/>
          <w:lang w:val="zh-TW"/>
        </w:rPr>
      </w:pPr>
      <w:r>
        <w:rPr>
          <w:rFonts w:ascii="宋体" w:hAnsi="宋体" w:eastAsia="宋体" w:cs="宋体"/>
          <w:color w:val="auto"/>
          <w:sz w:val="24"/>
          <w:szCs w:val="24"/>
        </w:rPr>
        <w:t>8</w:t>
      </w:r>
      <w:r>
        <w:rPr>
          <w:rFonts w:ascii="宋体" w:hAnsi="宋体" w:eastAsia="宋体" w:cs="宋体"/>
          <w:color w:val="auto"/>
          <w:sz w:val="24"/>
          <w:szCs w:val="24"/>
          <w:lang w:val="zh-TW"/>
        </w:rPr>
        <w:t>）近三年完成</w:t>
      </w:r>
      <w:r>
        <w:rPr>
          <w:rFonts w:ascii="宋体" w:hAnsi="宋体" w:eastAsia="宋体" w:cs="宋体"/>
          <w:color w:val="auto"/>
          <w:sz w:val="24"/>
          <w:szCs w:val="24"/>
        </w:rPr>
        <w:t>省属企业</w:t>
      </w:r>
      <w:r>
        <w:rPr>
          <w:rFonts w:ascii="宋体" w:hAnsi="宋体" w:eastAsia="宋体" w:cs="宋体"/>
          <w:color w:val="auto"/>
          <w:sz w:val="24"/>
          <w:szCs w:val="24"/>
          <w:lang w:val="zh-TW"/>
        </w:rPr>
        <w:t>主要评估项目情况，</w:t>
      </w:r>
      <w:r>
        <w:rPr>
          <w:rFonts w:ascii="宋体" w:hAnsi="宋体" w:eastAsia="宋体" w:cs="宋体"/>
          <w:color w:val="auto"/>
          <w:sz w:val="24"/>
          <w:szCs w:val="24"/>
        </w:rPr>
        <w:t>需提供中标通知书或资产评估合同</w:t>
      </w:r>
      <w:r>
        <w:rPr>
          <w:rFonts w:ascii="宋体" w:hAnsi="宋体" w:eastAsia="宋体" w:cs="宋体"/>
          <w:color w:val="auto"/>
          <w:sz w:val="24"/>
          <w:szCs w:val="24"/>
          <w:lang w:val="zh-TW"/>
        </w:rPr>
        <w:t>。</w:t>
      </w:r>
    </w:p>
    <w:p>
      <w:pPr>
        <w:pStyle w:val="35"/>
        <w:widowControl/>
        <w:spacing w:line="360" w:lineRule="auto"/>
        <w:ind w:firstLine="720" w:firstLineChars="300"/>
        <w:rPr>
          <w:rFonts w:hint="default" w:ascii="宋体" w:hAnsi="宋体" w:eastAsia="宋体" w:cs="宋体"/>
          <w:color w:val="auto"/>
          <w:sz w:val="24"/>
          <w:szCs w:val="24"/>
          <w:lang w:val="zh-TW"/>
        </w:rPr>
      </w:pPr>
      <w:r>
        <w:rPr>
          <w:rFonts w:ascii="宋体" w:hAnsi="宋体" w:eastAsia="宋体" w:cs="宋体"/>
          <w:color w:val="auto"/>
          <w:sz w:val="24"/>
          <w:szCs w:val="24"/>
        </w:rPr>
        <w:t>9）投标</w:t>
      </w:r>
      <w:r>
        <w:rPr>
          <w:rFonts w:ascii="宋体" w:hAnsi="宋体" w:eastAsia="宋体" w:cs="宋体"/>
          <w:color w:val="auto"/>
          <w:sz w:val="24"/>
          <w:szCs w:val="24"/>
          <w:lang w:val="zh-TW"/>
        </w:rPr>
        <w:t>机构认为需要加以说明的其他内容。</w:t>
      </w:r>
    </w:p>
    <w:p>
      <w:pPr>
        <w:pStyle w:val="35"/>
        <w:widowControl/>
        <w:spacing w:line="360" w:lineRule="auto"/>
        <w:ind w:firstLine="480" w:firstLineChars="200"/>
        <w:rPr>
          <w:rFonts w:hint="default" w:ascii="宋体" w:hAnsi="宋体" w:eastAsia="宋体" w:cs="宋体"/>
          <w:color w:val="auto"/>
          <w:sz w:val="24"/>
          <w:szCs w:val="24"/>
        </w:rPr>
      </w:pPr>
      <w:r>
        <w:rPr>
          <w:rFonts w:ascii="宋体" w:hAnsi="宋体" w:eastAsia="宋体" w:cs="宋体"/>
          <w:color w:val="auto"/>
          <w:sz w:val="24"/>
          <w:szCs w:val="24"/>
          <w:lang w:val="zh-TW"/>
        </w:rPr>
        <w:t>（</w:t>
      </w:r>
      <w:r>
        <w:rPr>
          <w:rFonts w:ascii="宋体" w:hAnsi="宋体" w:eastAsia="宋体" w:cs="宋体"/>
          <w:color w:val="auto"/>
          <w:sz w:val="24"/>
          <w:szCs w:val="24"/>
        </w:rPr>
        <w:t>6</w:t>
      </w:r>
      <w:r>
        <w:rPr>
          <w:rFonts w:ascii="宋体" w:hAnsi="宋体" w:eastAsia="宋体" w:cs="宋体"/>
          <w:color w:val="auto"/>
          <w:sz w:val="24"/>
          <w:szCs w:val="24"/>
          <w:lang w:val="zh-TW"/>
        </w:rPr>
        <w:t>）</w:t>
      </w:r>
      <w:r>
        <w:rPr>
          <w:rFonts w:hint="default" w:ascii="宋体" w:hAnsi="宋体" w:eastAsia="宋体" w:cs="宋体"/>
          <w:color w:val="auto"/>
          <w:sz w:val="24"/>
          <w:szCs w:val="24"/>
        </w:rPr>
        <w:t>近三年无违法违规记录说明</w:t>
      </w:r>
      <w:r>
        <w:rPr>
          <w:rFonts w:ascii="宋体" w:hAnsi="宋体" w:eastAsia="宋体" w:cs="宋体"/>
          <w:color w:val="auto"/>
          <w:sz w:val="24"/>
          <w:szCs w:val="24"/>
        </w:rPr>
        <w:t>。若有政府有关监管部门或行业监管机构惩处记录，需提供相关证明材料；</w:t>
      </w:r>
    </w:p>
    <w:p>
      <w:pPr>
        <w:pStyle w:val="35"/>
        <w:widowControl/>
        <w:spacing w:line="360" w:lineRule="auto"/>
        <w:ind w:firstLine="480" w:firstLineChars="200"/>
        <w:rPr>
          <w:rFonts w:hint="default" w:ascii="宋体" w:hAnsi="宋体" w:eastAsia="宋体" w:cs="宋体"/>
          <w:color w:val="auto"/>
          <w:sz w:val="24"/>
          <w:szCs w:val="24"/>
        </w:rPr>
      </w:pPr>
      <w:r>
        <w:rPr>
          <w:rFonts w:ascii="宋体" w:hAnsi="宋体" w:eastAsia="宋体" w:cs="宋体"/>
          <w:color w:val="auto"/>
          <w:sz w:val="24"/>
          <w:szCs w:val="24"/>
        </w:rPr>
        <w:t>（7）服务方案及服务承诺。</w:t>
      </w:r>
    </w:p>
    <w:p>
      <w:pPr>
        <w:pStyle w:val="35"/>
        <w:widowControl/>
        <w:spacing w:line="360" w:lineRule="auto"/>
        <w:ind w:firstLine="480" w:firstLineChars="200"/>
        <w:rPr>
          <w:rFonts w:hint="default" w:ascii="宋体" w:hAnsi="宋体" w:eastAsia="宋体" w:cs="宋体"/>
          <w:color w:val="auto"/>
          <w:sz w:val="24"/>
          <w:szCs w:val="24"/>
          <w:lang w:val="zh-TW" w:eastAsia="zh-TW"/>
        </w:rPr>
      </w:pPr>
      <w:r>
        <w:rPr>
          <w:rFonts w:ascii="宋体" w:hAnsi="宋体" w:eastAsia="宋体" w:cs="宋体"/>
          <w:color w:val="auto"/>
          <w:sz w:val="24"/>
          <w:szCs w:val="24"/>
          <w:lang w:val="zh-TW" w:eastAsia="zh-TW"/>
        </w:rPr>
        <w:t>（</w:t>
      </w:r>
      <w:r>
        <w:rPr>
          <w:rFonts w:ascii="宋体" w:hAnsi="宋体" w:eastAsia="宋体" w:cs="宋体"/>
          <w:color w:val="auto"/>
          <w:sz w:val="24"/>
          <w:szCs w:val="24"/>
        </w:rPr>
        <w:t>8</w:t>
      </w:r>
      <w:r>
        <w:rPr>
          <w:rFonts w:ascii="宋体" w:hAnsi="宋体" w:eastAsia="宋体" w:cs="宋体"/>
          <w:color w:val="auto"/>
          <w:sz w:val="24"/>
          <w:szCs w:val="24"/>
          <w:lang w:val="zh-TW" w:eastAsia="zh-TW"/>
        </w:rPr>
        <w:t>）其他相关说明及资料附件；</w:t>
      </w:r>
    </w:p>
    <w:p>
      <w:pPr>
        <w:pStyle w:val="35"/>
        <w:widowControl/>
        <w:tabs>
          <w:tab w:val="left" w:pos="1150"/>
        </w:tabs>
        <w:spacing w:line="360" w:lineRule="auto"/>
        <w:ind w:left="459"/>
        <w:rPr>
          <w:rFonts w:hint="default" w:ascii="宋体" w:hAnsi="宋体" w:eastAsia="宋体" w:cs="宋体"/>
          <w:color w:val="auto"/>
          <w:sz w:val="24"/>
          <w:szCs w:val="24"/>
          <w:lang w:val="zh-TW" w:eastAsia="zh-TW"/>
        </w:rPr>
      </w:pPr>
      <w:r>
        <w:rPr>
          <w:rFonts w:ascii="宋体" w:hAnsi="宋体" w:eastAsia="宋体" w:cs="宋体"/>
          <w:color w:val="auto"/>
          <w:sz w:val="24"/>
          <w:szCs w:val="24"/>
          <w:lang w:val="zh-TW" w:eastAsia="zh-TW"/>
        </w:rPr>
        <w:t>（</w:t>
      </w:r>
      <w:r>
        <w:rPr>
          <w:rFonts w:ascii="宋体" w:hAnsi="宋体" w:eastAsia="宋体" w:cs="宋体"/>
          <w:color w:val="auto"/>
          <w:sz w:val="24"/>
          <w:szCs w:val="24"/>
        </w:rPr>
        <w:t>9</w:t>
      </w:r>
      <w:r>
        <w:rPr>
          <w:rFonts w:ascii="宋体" w:hAnsi="宋体" w:eastAsia="宋体" w:cs="宋体"/>
          <w:color w:val="auto"/>
          <w:sz w:val="24"/>
          <w:szCs w:val="24"/>
          <w:lang w:val="zh-TW" w:eastAsia="zh-TW"/>
        </w:rPr>
        <w:t>）投标文件声明。</w:t>
      </w:r>
    </w:p>
    <w:p>
      <w:pPr>
        <w:snapToGrid/>
        <w:ind w:firstLineChars="200"/>
        <w:rPr>
          <w:rFonts w:ascii="宋体" w:hAnsi="宋体"/>
          <w:kern w:val="2"/>
          <w:u w:val="none"/>
        </w:rPr>
      </w:pPr>
      <w:r>
        <w:rPr>
          <w:rFonts w:hint="eastAsia" w:ascii="宋体" w:hAnsi="宋体"/>
          <w:kern w:val="2"/>
          <w:u w:val="none"/>
        </w:rPr>
        <w:t>4.1.2投标文件有关事项要求</w:t>
      </w:r>
    </w:p>
    <w:p>
      <w:pPr>
        <w:snapToGrid/>
        <w:ind w:firstLineChars="200"/>
        <w:rPr>
          <w:rFonts w:ascii="宋体" w:hAnsi="宋体"/>
          <w:kern w:val="2"/>
          <w:u w:val="none"/>
        </w:rPr>
      </w:pPr>
      <w:r>
        <w:rPr>
          <w:rFonts w:hint="eastAsia" w:ascii="宋体" w:hAnsi="宋体"/>
          <w:kern w:val="2"/>
          <w:u w:val="none"/>
        </w:rPr>
        <w:t>（1）投标文件应用不褪色的材料书写或打印，投标函及对投标文件的澄清、说明和补正应由投标人的法定代表人（单位负责人）或其授权的代理人签字或盖单位章。由投标人的法定代表人（单位负责人）签字的，应附法定代表人（单位负责人）身份证明，由代理人签字的，应附授权委托书。投标文件应尽量避免涂改、行间插字或删除。如果出现上述情况，改动之处应由投标人的法定代表人（单位负责人）或其授权的代理人签字或盖单位章。</w:t>
      </w:r>
    </w:p>
    <w:p>
      <w:pPr>
        <w:snapToGrid/>
        <w:ind w:firstLineChars="200"/>
        <w:rPr>
          <w:rFonts w:ascii="宋体" w:hAnsi="宋体"/>
          <w:kern w:val="2"/>
          <w:u w:val="none"/>
        </w:rPr>
      </w:pPr>
      <w:r>
        <w:rPr>
          <w:rFonts w:hint="eastAsia" w:ascii="宋体" w:hAnsi="宋体"/>
          <w:kern w:val="2"/>
          <w:u w:val="none"/>
        </w:rPr>
        <w:t xml:space="preserve">（2）投标文件正本一份，副本两份。正本和副本的封面右上角应清楚地标记“正本”或“副本”的字样。投标人应提供电子版文件。当副本和正本不一致或电子版文件和纸质正本文件不一致时，以纸质正本文件为准。  </w:t>
      </w:r>
    </w:p>
    <w:p>
      <w:pPr>
        <w:snapToGrid/>
        <w:ind w:firstLineChars="200"/>
        <w:rPr>
          <w:rFonts w:ascii="宋体" w:hAnsi="宋体"/>
          <w:kern w:val="2"/>
          <w:u w:val="none"/>
        </w:rPr>
      </w:pPr>
      <w:r>
        <w:rPr>
          <w:rFonts w:hint="eastAsia" w:ascii="宋体" w:hAnsi="宋体"/>
          <w:kern w:val="2"/>
          <w:u w:val="none"/>
        </w:rPr>
        <w:t>（3）投标文件的正本与副本应分别装订，并编制目录。</w:t>
      </w:r>
    </w:p>
    <w:p>
      <w:pPr>
        <w:snapToGrid/>
        <w:ind w:firstLineChars="200"/>
        <w:rPr>
          <w:rFonts w:ascii="宋体" w:hAnsi="宋体"/>
          <w:kern w:val="2"/>
          <w:u w:val="none"/>
          <w:lang w:val="zh-TW" w:eastAsia="zh-TW"/>
        </w:rPr>
      </w:pPr>
      <w:r>
        <w:rPr>
          <w:rFonts w:hint="eastAsia" w:ascii="宋体" w:hAnsi="宋体"/>
          <w:kern w:val="2"/>
          <w:u w:val="none"/>
        </w:rPr>
        <w:t>（4）</w:t>
      </w:r>
      <w:r>
        <w:rPr>
          <w:rFonts w:ascii="宋体" w:hAnsi="宋体"/>
          <w:kern w:val="2"/>
          <w:u w:val="none"/>
          <w:lang w:val="zh-TW" w:eastAsia="zh-TW"/>
        </w:rPr>
        <w:t>投标文件文字内容统一在word文档中编制，A4版式，正文字体为宋体小四号字，行间距1.5倍行距，段前段后设置为0；表格部分在excel文件中编制，字体为宋体小四或11号字，行间距为单倍行距。</w:t>
      </w:r>
    </w:p>
    <w:p>
      <w:pPr>
        <w:snapToGrid/>
        <w:ind w:firstLineChars="200"/>
        <w:rPr>
          <w:rFonts w:ascii="宋体" w:hAnsi="宋体"/>
          <w:kern w:val="2"/>
          <w:u w:val="none"/>
          <w:lang w:val="zh-TW" w:eastAsia="zh-TW"/>
        </w:rPr>
      </w:pPr>
      <w:r>
        <w:rPr>
          <w:rFonts w:hint="eastAsia" w:ascii="宋体" w:hAnsi="宋体"/>
          <w:kern w:val="2"/>
          <w:u w:val="none"/>
          <w:lang w:val="zh-TW"/>
        </w:rPr>
        <w:t>（</w:t>
      </w:r>
      <w:r>
        <w:rPr>
          <w:rFonts w:hint="eastAsia" w:ascii="宋体" w:hAnsi="宋体"/>
          <w:kern w:val="2"/>
          <w:u w:val="none"/>
        </w:rPr>
        <w:t>5</w:t>
      </w:r>
      <w:r>
        <w:rPr>
          <w:rFonts w:hint="eastAsia" w:ascii="宋体" w:hAnsi="宋体"/>
          <w:kern w:val="2"/>
          <w:u w:val="none"/>
          <w:lang w:val="zh-TW"/>
        </w:rPr>
        <w:t>）</w:t>
      </w:r>
      <w:r>
        <w:rPr>
          <w:rFonts w:ascii="宋体" w:hAnsi="宋体"/>
          <w:kern w:val="2"/>
          <w:u w:val="none"/>
          <w:lang w:val="zh-TW" w:eastAsia="zh-TW"/>
        </w:rPr>
        <w:t>投标文件所有内容必须加盖投标人公章或投标专用章方可作为有效投标文件。</w:t>
      </w:r>
    </w:p>
    <w:p>
      <w:pPr>
        <w:snapToGrid/>
        <w:ind w:firstLineChars="200"/>
        <w:rPr>
          <w:rFonts w:ascii="宋体" w:hAnsi="宋体"/>
          <w:kern w:val="2"/>
          <w:u w:val="none"/>
          <w:lang w:val="zh-TW" w:eastAsia="zh-TW"/>
        </w:rPr>
      </w:pPr>
      <w:r>
        <w:rPr>
          <w:rFonts w:hint="eastAsia" w:ascii="宋体" w:hAnsi="宋体"/>
          <w:kern w:val="2"/>
          <w:u w:val="none"/>
          <w:lang w:val="zh-TW"/>
        </w:rPr>
        <w:t>（</w:t>
      </w:r>
      <w:r>
        <w:rPr>
          <w:rFonts w:hint="eastAsia" w:ascii="宋体" w:hAnsi="宋体"/>
          <w:kern w:val="2"/>
          <w:u w:val="none"/>
        </w:rPr>
        <w:t>6</w:t>
      </w:r>
      <w:r>
        <w:rPr>
          <w:rFonts w:hint="eastAsia" w:ascii="宋体" w:hAnsi="宋体"/>
          <w:kern w:val="2"/>
          <w:u w:val="none"/>
          <w:lang w:val="zh-TW"/>
        </w:rPr>
        <w:t>）</w:t>
      </w:r>
      <w:r>
        <w:rPr>
          <w:rFonts w:ascii="宋体" w:hAnsi="宋体"/>
          <w:kern w:val="2"/>
          <w:u w:val="none"/>
          <w:lang w:val="zh-TW" w:eastAsia="zh-TW"/>
        </w:rPr>
        <w:t>投标文件需装订后密封投递（另有规定的除外）。</w:t>
      </w:r>
    </w:p>
    <w:p>
      <w:pPr>
        <w:snapToGrid/>
        <w:ind w:firstLineChars="200"/>
        <w:rPr>
          <w:rFonts w:ascii="宋体" w:hAnsi="宋体" w:cs="宋体"/>
        </w:rPr>
      </w:pPr>
      <w:r>
        <w:rPr>
          <w:rFonts w:hint="eastAsia" w:ascii="宋体" w:hAnsi="宋体"/>
          <w:kern w:val="2"/>
          <w:u w:val="none"/>
          <w:lang w:val="zh-TW"/>
        </w:rPr>
        <w:t>（</w:t>
      </w:r>
      <w:r>
        <w:rPr>
          <w:rFonts w:hint="eastAsia" w:ascii="宋体" w:hAnsi="宋体"/>
          <w:kern w:val="2"/>
          <w:u w:val="none"/>
        </w:rPr>
        <w:t>7</w:t>
      </w:r>
      <w:r>
        <w:rPr>
          <w:rFonts w:hint="eastAsia" w:ascii="宋体" w:hAnsi="宋体"/>
          <w:kern w:val="2"/>
          <w:u w:val="none"/>
          <w:lang w:val="zh-TW"/>
        </w:rPr>
        <w:t>）</w:t>
      </w:r>
      <w:r>
        <w:rPr>
          <w:rFonts w:ascii="宋体" w:hAnsi="宋体"/>
          <w:kern w:val="2"/>
          <w:u w:val="none"/>
          <w:lang w:val="zh-TW" w:eastAsia="zh-TW"/>
        </w:rPr>
        <w:t>凡与招标文件规定及要求不符的投标文件，招标人可以不予受理，并视为投标人投标无效。</w:t>
      </w:r>
    </w:p>
    <w:p>
      <w:pPr>
        <w:pStyle w:val="35"/>
        <w:widowControl/>
        <w:tabs>
          <w:tab w:val="left" w:pos="1150"/>
        </w:tabs>
        <w:spacing w:line="360" w:lineRule="auto"/>
        <w:ind w:firstLine="480" w:firstLineChars="200"/>
        <w:rPr>
          <w:rFonts w:hint="default" w:ascii="宋体" w:hAnsi="宋体" w:eastAsia="宋体" w:cs="宋体"/>
          <w:sz w:val="24"/>
          <w:szCs w:val="24"/>
        </w:rPr>
      </w:pPr>
      <w:r>
        <w:rPr>
          <w:rFonts w:ascii="宋体" w:hAnsi="宋体" w:eastAsia="宋体" w:cs="宋体"/>
          <w:sz w:val="24"/>
          <w:szCs w:val="24"/>
        </w:rPr>
        <w:t>4.1.3</w:t>
      </w:r>
      <w:r>
        <w:rPr>
          <w:rFonts w:ascii="宋体" w:hAnsi="宋体" w:eastAsia="宋体" w:cs="宋体"/>
          <w:sz w:val="24"/>
          <w:szCs w:val="24"/>
          <w:lang w:val="zh-TW" w:eastAsia="zh-TW"/>
        </w:rPr>
        <w:t>投标人应仔细阅读招标文件中各项要求，严格按照招标文件的格式及要求进行编制，不得进行修改、删减。</w:t>
      </w:r>
    </w:p>
    <w:p>
      <w:pPr>
        <w:pStyle w:val="4"/>
        <w:ind w:firstLine="0"/>
        <w:rPr>
          <w:u w:val="none"/>
          <w:lang w:val="zh-TW"/>
        </w:rPr>
      </w:pPr>
      <w:bookmarkStart w:id="48" w:name="_Toc489533795"/>
      <w:bookmarkStart w:id="49" w:name="_Toc10363"/>
      <w:bookmarkStart w:id="50" w:name="_Toc10494"/>
      <w:r>
        <w:rPr>
          <w:u w:val="none"/>
          <w:lang w:val="zh-TW"/>
        </w:rPr>
        <w:t>4.</w:t>
      </w:r>
      <w:r>
        <w:rPr>
          <w:rFonts w:hint="eastAsia"/>
          <w:u w:val="none"/>
          <w:lang w:val="zh-TW"/>
        </w:rPr>
        <w:t>2</w:t>
      </w:r>
      <w:r>
        <w:rPr>
          <w:u w:val="none"/>
          <w:lang w:val="zh-TW"/>
        </w:rPr>
        <w:t>投标保证金</w:t>
      </w:r>
      <w:bookmarkEnd w:id="48"/>
      <w:bookmarkEnd w:id="49"/>
      <w:bookmarkEnd w:id="50"/>
    </w:p>
    <w:p>
      <w:pPr>
        <w:pStyle w:val="35"/>
        <w:widowControl/>
        <w:tabs>
          <w:tab w:val="left" w:pos="1060"/>
        </w:tabs>
        <w:spacing w:line="360" w:lineRule="auto"/>
        <w:ind w:firstLine="480" w:firstLineChars="200"/>
        <w:rPr>
          <w:rFonts w:hint="default" w:ascii="宋体" w:hAnsi="宋体" w:eastAsia="宋体" w:cs="宋体"/>
          <w:sz w:val="24"/>
          <w:szCs w:val="24"/>
        </w:rPr>
      </w:pPr>
      <w:r>
        <w:rPr>
          <w:rFonts w:ascii="宋体" w:hAnsi="宋体" w:eastAsia="宋体" w:cs="宋体"/>
          <w:bCs/>
          <w:sz w:val="24"/>
          <w:szCs w:val="24"/>
        </w:rPr>
        <w:t>投标单位无需缴纳投标保证金。</w:t>
      </w:r>
    </w:p>
    <w:p>
      <w:pPr>
        <w:pStyle w:val="4"/>
        <w:ind w:firstLine="0"/>
        <w:rPr>
          <w:u w:val="none"/>
          <w:lang w:val="zh-TW"/>
        </w:rPr>
      </w:pPr>
      <w:bookmarkStart w:id="51" w:name="_Toc15788"/>
      <w:bookmarkStart w:id="52" w:name="_Toc489533796"/>
      <w:bookmarkStart w:id="53" w:name="_Toc11419"/>
      <w:r>
        <w:rPr>
          <w:u w:val="none"/>
          <w:lang w:val="zh-TW"/>
        </w:rPr>
        <w:t>4.</w:t>
      </w:r>
      <w:r>
        <w:rPr>
          <w:rFonts w:hint="eastAsia"/>
          <w:u w:val="none"/>
          <w:lang w:val="zh-TW"/>
        </w:rPr>
        <w:t>3</w:t>
      </w:r>
      <w:r>
        <w:rPr>
          <w:u w:val="none"/>
          <w:lang w:val="zh-TW"/>
        </w:rPr>
        <w:t>投标文件的递交</w:t>
      </w:r>
      <w:bookmarkEnd w:id="51"/>
      <w:bookmarkEnd w:id="52"/>
      <w:bookmarkEnd w:id="53"/>
    </w:p>
    <w:p>
      <w:pPr>
        <w:pStyle w:val="35"/>
        <w:widowControl/>
        <w:tabs>
          <w:tab w:val="left" w:pos="1060"/>
        </w:tabs>
        <w:spacing w:line="360" w:lineRule="auto"/>
        <w:rPr>
          <w:rStyle w:val="27"/>
          <w:rFonts w:hint="default" w:ascii="宋体" w:hAnsi="宋体" w:eastAsia="宋体" w:cs="宋体"/>
          <w:sz w:val="24"/>
          <w:szCs w:val="24"/>
          <w:lang w:eastAsia="zh-CN"/>
        </w:rPr>
      </w:pPr>
      <w:r>
        <w:rPr>
          <w:rFonts w:ascii="宋体" w:hAnsi="宋体" w:eastAsia="宋体" w:cs="宋体"/>
          <w:sz w:val="24"/>
          <w:szCs w:val="24"/>
        </w:rPr>
        <w:t xml:space="preserve">    4.3.1</w:t>
      </w:r>
      <w:r>
        <w:rPr>
          <w:rStyle w:val="27"/>
          <w:rFonts w:ascii="宋体" w:hAnsi="宋体" w:eastAsia="宋体" w:cs="宋体"/>
          <w:sz w:val="24"/>
          <w:szCs w:val="24"/>
        </w:rPr>
        <w:t>投标文件应在招标文件规定的投标截止时间前</w:t>
      </w:r>
      <w:r>
        <w:rPr>
          <w:rStyle w:val="27"/>
          <w:rFonts w:ascii="宋体" w:hAnsi="宋体" w:eastAsia="宋体" w:cs="宋体"/>
          <w:sz w:val="24"/>
          <w:szCs w:val="24"/>
          <w:lang w:eastAsia="zh-CN"/>
        </w:rPr>
        <w:t>，送达或邮至招标人指定的地点。对于需要提前进行电子版汇总的项目，需将纸质版、电子版投标文件分别密封交至</w:t>
      </w:r>
      <w:r>
        <w:rPr>
          <w:rStyle w:val="27"/>
          <w:rFonts w:ascii="宋体" w:hAnsi="宋体" w:eastAsia="宋体" w:cs="宋体"/>
          <w:sz w:val="24"/>
          <w:szCs w:val="24"/>
          <w:lang w:val="en-US" w:eastAsia="zh-CN"/>
        </w:rPr>
        <w:t>我公司</w:t>
      </w:r>
      <w:r>
        <w:rPr>
          <w:rStyle w:val="27"/>
          <w:rFonts w:ascii="宋体" w:hAnsi="宋体" w:eastAsia="宋体" w:cs="宋体"/>
          <w:sz w:val="24"/>
          <w:szCs w:val="24"/>
          <w:lang w:eastAsia="zh-CN"/>
        </w:rPr>
        <w:t>。</w:t>
      </w:r>
    </w:p>
    <w:p>
      <w:pPr>
        <w:pStyle w:val="35"/>
        <w:widowControl/>
        <w:tabs>
          <w:tab w:val="left" w:pos="1060"/>
        </w:tabs>
        <w:spacing w:line="360" w:lineRule="auto"/>
        <w:rPr>
          <w:rStyle w:val="27"/>
          <w:rFonts w:hint="default" w:ascii="宋体" w:hAnsi="宋体" w:eastAsia="宋体" w:cs="宋体"/>
          <w:sz w:val="24"/>
          <w:szCs w:val="24"/>
          <w:lang w:eastAsia="zh-CN"/>
        </w:rPr>
      </w:pPr>
      <w:r>
        <w:rPr>
          <w:rFonts w:ascii="宋体" w:hAnsi="宋体" w:eastAsia="宋体" w:cs="宋体"/>
          <w:sz w:val="24"/>
          <w:szCs w:val="24"/>
        </w:rPr>
        <w:t xml:space="preserve">    4.3.2</w:t>
      </w:r>
      <w:r>
        <w:rPr>
          <w:rStyle w:val="27"/>
          <w:rFonts w:ascii="宋体" w:hAnsi="宋体" w:eastAsia="宋体" w:cs="宋体"/>
          <w:sz w:val="24"/>
          <w:szCs w:val="24"/>
        </w:rPr>
        <w:t>投标人在投标截止时间前可以对其已经提交的投标文件进行撤回、修</w:t>
      </w:r>
      <w:r>
        <w:rPr>
          <w:rStyle w:val="27"/>
          <w:rFonts w:ascii="宋体" w:hAnsi="宋体" w:eastAsia="宋体" w:cs="宋体"/>
          <w:sz w:val="24"/>
          <w:szCs w:val="24"/>
          <w:lang w:eastAsia="zh-CN"/>
        </w:rPr>
        <w:t>改。</w:t>
      </w:r>
    </w:p>
    <w:p>
      <w:pPr>
        <w:pStyle w:val="35"/>
        <w:widowControl/>
        <w:tabs>
          <w:tab w:val="left" w:pos="1060"/>
        </w:tabs>
        <w:spacing w:line="360" w:lineRule="auto"/>
        <w:rPr>
          <w:rFonts w:hint="default" w:ascii="宋体" w:hAnsi="宋体" w:eastAsia="宋体" w:cs="宋体"/>
          <w:sz w:val="24"/>
          <w:szCs w:val="24"/>
          <w:lang w:val="zh-TW"/>
        </w:rPr>
      </w:pPr>
      <w:r>
        <w:rPr>
          <w:rStyle w:val="27"/>
          <w:rFonts w:ascii="宋体" w:hAnsi="宋体" w:eastAsia="宋体" w:cs="宋体"/>
          <w:sz w:val="24"/>
          <w:szCs w:val="24"/>
          <w:lang w:eastAsia="zh-CN"/>
        </w:rPr>
        <w:t xml:space="preserve">    4.3.3</w:t>
      </w:r>
      <w:r>
        <w:rPr>
          <w:rStyle w:val="27"/>
          <w:rFonts w:ascii="宋体" w:hAnsi="宋体" w:eastAsia="宋体" w:cs="宋体"/>
          <w:sz w:val="24"/>
          <w:szCs w:val="24"/>
        </w:rPr>
        <w:t>招标人对</w:t>
      </w:r>
      <w:r>
        <w:rPr>
          <w:rStyle w:val="27"/>
          <w:rFonts w:ascii="宋体" w:hAnsi="宋体" w:eastAsia="宋体" w:cs="宋体"/>
          <w:sz w:val="24"/>
          <w:szCs w:val="24"/>
          <w:lang w:eastAsia="zh-CN"/>
        </w:rPr>
        <w:t>因</w:t>
      </w:r>
      <w:r>
        <w:rPr>
          <w:rStyle w:val="27"/>
          <w:rFonts w:ascii="宋体" w:hAnsi="宋体" w:eastAsia="宋体" w:cs="宋体"/>
          <w:sz w:val="24"/>
          <w:szCs w:val="24"/>
        </w:rPr>
        <w:t>不可抗力因素所导致的招标文件或投标文件的损坏或遗失不承担</w:t>
      </w:r>
      <w:r>
        <w:rPr>
          <w:rStyle w:val="27"/>
          <w:rFonts w:ascii="宋体" w:hAnsi="宋体" w:eastAsia="宋体" w:cs="宋体"/>
          <w:sz w:val="24"/>
          <w:szCs w:val="24"/>
          <w:lang w:eastAsia="zh-CN"/>
        </w:rPr>
        <w:t>任何</w:t>
      </w:r>
      <w:r>
        <w:rPr>
          <w:rStyle w:val="27"/>
          <w:rFonts w:ascii="宋体" w:hAnsi="宋体" w:eastAsia="宋体" w:cs="宋体"/>
          <w:sz w:val="24"/>
          <w:szCs w:val="24"/>
        </w:rPr>
        <w:t>责任；</w:t>
      </w:r>
    </w:p>
    <w:p>
      <w:pPr>
        <w:pStyle w:val="35"/>
        <w:widowControl/>
        <w:tabs>
          <w:tab w:val="left" w:pos="1060"/>
        </w:tabs>
        <w:spacing w:line="360" w:lineRule="auto"/>
        <w:rPr>
          <w:rFonts w:hint="default" w:ascii="宋体" w:hAnsi="宋体" w:eastAsia="宋体" w:cs="宋体"/>
          <w:sz w:val="24"/>
          <w:szCs w:val="24"/>
          <w:lang w:val="zh-TW" w:eastAsia="zh-TW"/>
        </w:rPr>
      </w:pPr>
      <w:r>
        <w:rPr>
          <w:rFonts w:ascii="宋体" w:hAnsi="宋体" w:eastAsia="宋体" w:cs="宋体"/>
          <w:sz w:val="24"/>
          <w:szCs w:val="24"/>
          <w:lang w:val="zh-TW"/>
        </w:rPr>
        <w:t xml:space="preserve">    4.3.4</w:t>
      </w:r>
      <w:r>
        <w:rPr>
          <w:rStyle w:val="27"/>
          <w:rFonts w:ascii="宋体" w:hAnsi="宋体" w:eastAsia="宋体" w:cs="宋体"/>
          <w:sz w:val="24"/>
          <w:szCs w:val="24"/>
        </w:rPr>
        <w:t>投标文件</w:t>
      </w:r>
      <w:r>
        <w:rPr>
          <w:rFonts w:ascii="宋体" w:hAnsi="宋体" w:eastAsia="宋体" w:cs="宋体"/>
          <w:sz w:val="24"/>
          <w:szCs w:val="24"/>
          <w:lang w:val="zh-TW" w:eastAsia="zh-TW"/>
        </w:rPr>
        <w:t>经开标后，</w:t>
      </w:r>
      <w:r>
        <w:rPr>
          <w:rStyle w:val="27"/>
          <w:rFonts w:ascii="宋体" w:hAnsi="宋体" w:eastAsia="宋体" w:cs="宋体"/>
          <w:sz w:val="24"/>
          <w:szCs w:val="24"/>
        </w:rPr>
        <w:t>招标人将不予退还。</w:t>
      </w:r>
    </w:p>
    <w:p>
      <w:pPr>
        <w:pStyle w:val="4"/>
        <w:ind w:firstLine="0"/>
        <w:rPr>
          <w:u w:val="none"/>
          <w:lang w:val="zh-TW"/>
        </w:rPr>
      </w:pPr>
      <w:bookmarkStart w:id="54" w:name="_Toc489533797"/>
      <w:bookmarkStart w:id="55" w:name="_Toc13709"/>
      <w:bookmarkStart w:id="56" w:name="_Toc30580"/>
      <w:r>
        <w:rPr>
          <w:u w:val="none"/>
          <w:lang w:val="zh-TW"/>
        </w:rPr>
        <w:t>4.</w:t>
      </w:r>
      <w:r>
        <w:rPr>
          <w:rFonts w:hint="eastAsia"/>
          <w:u w:val="none"/>
          <w:lang w:val="zh-TW"/>
        </w:rPr>
        <w:t>4</w:t>
      </w:r>
      <w:r>
        <w:rPr>
          <w:u w:val="none"/>
          <w:lang w:val="zh-TW"/>
        </w:rPr>
        <w:t>投标费用</w:t>
      </w:r>
      <w:bookmarkEnd w:id="54"/>
      <w:bookmarkEnd w:id="55"/>
      <w:bookmarkEnd w:id="56"/>
    </w:p>
    <w:p>
      <w:pPr>
        <w:pStyle w:val="20"/>
        <w:widowControl/>
        <w:spacing w:line="360" w:lineRule="auto"/>
        <w:ind w:firstLine="480" w:firstLineChars="200"/>
      </w:pPr>
      <w:r>
        <w:rPr>
          <w:bCs/>
          <w:lang w:val="zh-TW" w:eastAsia="zh-TW"/>
        </w:rPr>
        <w:t>投标人准备和参加投标活动发生的一切费用由投标人自理。</w:t>
      </w:r>
    </w:p>
    <w:p>
      <w:pPr>
        <w:widowControl/>
        <w:snapToGrid/>
        <w:ind w:firstLine="0"/>
        <w:jc w:val="left"/>
        <w:outlineLvl w:val="1"/>
        <w:rPr>
          <w:rFonts w:asciiTheme="majorEastAsia" w:hAnsiTheme="majorEastAsia" w:eastAsiaTheme="majorEastAsia"/>
          <w:b/>
          <w:bCs/>
          <w:color w:val="000000"/>
          <w:kern w:val="44"/>
          <w:sz w:val="32"/>
          <w:szCs w:val="32"/>
          <w:u w:val="none"/>
        </w:rPr>
      </w:pPr>
      <w:bookmarkStart w:id="57" w:name="_Toc11276"/>
      <w:bookmarkStart w:id="58" w:name="_Toc489533798"/>
      <w:r>
        <w:rPr>
          <w:rFonts w:hint="eastAsia" w:asciiTheme="majorEastAsia" w:hAnsiTheme="majorEastAsia" w:eastAsiaTheme="majorEastAsia"/>
          <w:b/>
          <w:bCs/>
          <w:color w:val="000000"/>
          <w:kern w:val="44"/>
          <w:u w:val="none"/>
        </w:rPr>
        <w:t>4.5评标与开标</w:t>
      </w:r>
      <w:bookmarkEnd w:id="57"/>
    </w:p>
    <w:bookmarkEnd w:id="58"/>
    <w:p>
      <w:pPr>
        <w:ind w:firstLineChars="200"/>
        <w:rPr>
          <w:u w:val="none"/>
        </w:rPr>
        <w:sectPr>
          <w:footerReference r:id="rId12" w:type="default"/>
          <w:pgSz w:w="11900" w:h="16840"/>
          <w:pgMar w:top="1474" w:right="1701" w:bottom="1418" w:left="1758" w:header="851" w:footer="1134" w:gutter="0"/>
          <w:pgNumType w:start="1"/>
          <w:cols w:space="720" w:num="1"/>
          <w:docGrid w:linePitch="326" w:charSpace="0"/>
        </w:sectPr>
      </w:pPr>
      <w:r>
        <w:rPr>
          <w:rFonts w:hint="eastAsia"/>
          <w:u w:val="none"/>
        </w:rPr>
        <w:t>公司内部制定评分标准，组织评定确定资产评估机构备选库。</w:t>
      </w:r>
    </w:p>
    <w:p>
      <w:pPr>
        <w:ind w:firstLine="0"/>
        <w:rPr>
          <w:u w:val="none"/>
        </w:rPr>
      </w:pPr>
    </w:p>
    <w:p>
      <w:pPr>
        <w:pStyle w:val="3"/>
        <w:spacing w:before="120" w:line="360" w:lineRule="auto"/>
        <w:jc w:val="center"/>
        <w:outlineLvl w:val="0"/>
        <w:rPr>
          <w:rFonts w:cs="宋体" w:asciiTheme="majorEastAsia" w:hAnsiTheme="majorEastAsia" w:eastAsiaTheme="majorEastAsia"/>
          <w:b/>
          <w:sz w:val="24"/>
          <w:szCs w:val="24"/>
          <w:lang w:val="zh-TW"/>
        </w:rPr>
      </w:pPr>
      <w:bookmarkStart w:id="59" w:name="_Toc31303"/>
      <w:bookmarkStart w:id="60" w:name="_Toc3"/>
      <w:bookmarkStart w:id="61" w:name="_Toc484762139"/>
      <w:bookmarkStart w:id="62" w:name="_Toc12378"/>
      <w:bookmarkStart w:id="63" w:name="_Toc16579"/>
      <w:bookmarkStart w:id="64" w:name="_Toc489533805"/>
      <w:bookmarkStart w:id="65" w:name="_Toc20283"/>
      <w:bookmarkStart w:id="66" w:name="_Toc489533301"/>
      <w:bookmarkStart w:id="67" w:name="_Toc19538"/>
      <w:r>
        <w:rPr>
          <w:rFonts w:cs="宋体" w:asciiTheme="majorEastAsia" w:hAnsiTheme="majorEastAsia" w:eastAsiaTheme="majorEastAsia"/>
          <w:b/>
          <w:sz w:val="32"/>
          <w:szCs w:val="32"/>
          <w:lang w:val="zh-TW" w:eastAsia="zh-TW"/>
        </w:rPr>
        <w:t>第</w:t>
      </w:r>
      <w:r>
        <w:rPr>
          <w:rFonts w:hint="eastAsia" w:cs="宋体" w:asciiTheme="majorEastAsia" w:hAnsiTheme="majorEastAsia" w:eastAsiaTheme="majorEastAsia"/>
          <w:b/>
          <w:sz w:val="32"/>
          <w:szCs w:val="32"/>
        </w:rPr>
        <w:t>五</w:t>
      </w:r>
      <w:r>
        <w:rPr>
          <w:rFonts w:cs="宋体" w:asciiTheme="majorEastAsia" w:hAnsiTheme="majorEastAsia" w:eastAsiaTheme="majorEastAsia"/>
          <w:b/>
          <w:sz w:val="32"/>
          <w:szCs w:val="32"/>
          <w:lang w:val="zh-TW" w:eastAsia="zh-TW"/>
        </w:rPr>
        <w:t>章投标文件格式</w:t>
      </w:r>
      <w:bookmarkEnd w:id="59"/>
      <w:bookmarkEnd w:id="60"/>
      <w:bookmarkEnd w:id="61"/>
      <w:bookmarkEnd w:id="62"/>
      <w:bookmarkEnd w:id="63"/>
      <w:bookmarkEnd w:id="64"/>
      <w:bookmarkEnd w:id="65"/>
      <w:bookmarkEnd w:id="66"/>
      <w:bookmarkEnd w:id="67"/>
    </w:p>
    <w:p>
      <w:pPr>
        <w:ind w:firstLine="0"/>
        <w:rPr>
          <w:rFonts w:hAnsi="宋体"/>
          <w:sz w:val="28"/>
          <w:szCs w:val="28"/>
        </w:rPr>
      </w:pPr>
      <w:bookmarkStart w:id="68" w:name="_Toc484762140"/>
      <w:bookmarkStart w:id="69" w:name="_Toc489533806"/>
    </w:p>
    <w:p>
      <w:pPr>
        <w:ind w:firstLine="0"/>
        <w:rPr>
          <w:rFonts w:hAnsi="宋体"/>
          <w:sz w:val="28"/>
          <w:szCs w:val="28"/>
        </w:rPr>
      </w:pPr>
    </w:p>
    <w:p>
      <w:pPr>
        <w:ind w:firstLine="0"/>
        <w:rPr>
          <w:rFonts w:hAnsi="宋体"/>
          <w:sz w:val="28"/>
          <w:szCs w:val="28"/>
        </w:rPr>
      </w:pPr>
    </w:p>
    <w:p>
      <w:pPr>
        <w:pStyle w:val="11"/>
        <w:spacing w:line="0" w:lineRule="atLeast"/>
        <w:ind w:right="-382" w:rightChars="-159"/>
        <w:jc w:val="center"/>
        <w:rPr>
          <w:rFonts w:ascii="Times New Roman" w:hAnsi="Times New Roman" w:eastAsia="黑体"/>
          <w:b/>
          <w:sz w:val="44"/>
          <w:szCs w:val="44"/>
        </w:rPr>
      </w:pPr>
      <w:r>
        <w:rPr>
          <w:rFonts w:hint="eastAsia" w:ascii="Times New Roman" w:hAnsi="Times New Roman" w:eastAsia="黑体"/>
          <w:b/>
          <w:sz w:val="44"/>
          <w:szCs w:val="44"/>
        </w:rPr>
        <w:t>太原重型机械集团有限公司</w:t>
      </w:r>
    </w:p>
    <w:p>
      <w:pPr>
        <w:pStyle w:val="11"/>
        <w:spacing w:line="0" w:lineRule="atLeast"/>
        <w:ind w:right="-382" w:rightChars="-159"/>
        <w:jc w:val="center"/>
        <w:rPr>
          <w:rFonts w:ascii="Times New Roman" w:hAnsi="Times New Roman" w:eastAsia="黑体"/>
          <w:b/>
          <w:sz w:val="44"/>
          <w:szCs w:val="44"/>
        </w:rPr>
      </w:pPr>
      <w:r>
        <w:rPr>
          <w:rFonts w:hint="eastAsia" w:ascii="Times New Roman" w:hAnsi="Times New Roman" w:eastAsia="黑体"/>
          <w:b/>
          <w:sz w:val="44"/>
          <w:szCs w:val="44"/>
        </w:rPr>
        <w:t>公开选聘资产评估机构备选库项目</w:t>
      </w:r>
    </w:p>
    <w:p>
      <w:pPr>
        <w:jc w:val="center"/>
        <w:rPr>
          <w:rFonts w:eastAsia="黑体"/>
          <w:bCs/>
          <w:sz w:val="52"/>
          <w:szCs w:val="20"/>
        </w:rPr>
      </w:pPr>
    </w:p>
    <w:p>
      <w:pPr>
        <w:jc w:val="center"/>
        <w:rPr>
          <w:rFonts w:eastAsia="黑体"/>
          <w:bCs/>
          <w:sz w:val="52"/>
          <w:szCs w:val="20"/>
        </w:rPr>
      </w:pPr>
    </w:p>
    <w:p>
      <w:pPr>
        <w:jc w:val="center"/>
        <w:rPr>
          <w:rFonts w:eastAsia="黑体"/>
          <w:bCs/>
          <w:szCs w:val="21"/>
        </w:rPr>
      </w:pPr>
    </w:p>
    <w:p>
      <w:pPr>
        <w:jc w:val="center"/>
        <w:rPr>
          <w:rFonts w:eastAsia="黑体"/>
          <w:bCs/>
          <w:szCs w:val="21"/>
        </w:rPr>
      </w:pPr>
    </w:p>
    <w:p>
      <w:pPr>
        <w:pStyle w:val="11"/>
        <w:jc w:val="center"/>
        <w:rPr>
          <w:rFonts w:ascii="Times New Roman" w:hAnsi="Times New Roman"/>
          <w:b/>
          <w:sz w:val="100"/>
          <w:szCs w:val="100"/>
        </w:rPr>
      </w:pPr>
      <w:bookmarkStart w:id="70" w:name="_Toc4690"/>
      <w:bookmarkStart w:id="71" w:name="_Toc23429"/>
      <w:r>
        <w:rPr>
          <w:rFonts w:hint="eastAsia" w:ascii="Times New Roman" w:hAnsi="宋体"/>
          <w:b/>
          <w:sz w:val="100"/>
          <w:szCs w:val="100"/>
        </w:rPr>
        <w:t>投</w:t>
      </w:r>
      <w:r>
        <w:rPr>
          <w:rFonts w:hint="eastAsia" w:ascii="Times New Roman" w:hAnsi="Times New Roman"/>
          <w:b/>
          <w:sz w:val="100"/>
          <w:szCs w:val="100"/>
        </w:rPr>
        <w:t xml:space="preserve"> </w:t>
      </w:r>
      <w:r>
        <w:rPr>
          <w:rFonts w:hint="eastAsia" w:ascii="Times New Roman" w:hAnsi="宋体"/>
          <w:b/>
          <w:sz w:val="100"/>
          <w:szCs w:val="100"/>
        </w:rPr>
        <w:t>标</w:t>
      </w:r>
      <w:r>
        <w:rPr>
          <w:rFonts w:hint="eastAsia" w:ascii="Times New Roman" w:hAnsi="Times New Roman"/>
          <w:b/>
          <w:sz w:val="100"/>
          <w:szCs w:val="100"/>
        </w:rPr>
        <w:t xml:space="preserve"> </w:t>
      </w:r>
      <w:r>
        <w:rPr>
          <w:rFonts w:hint="eastAsia" w:ascii="Times New Roman" w:hAnsi="宋体"/>
          <w:b/>
          <w:sz w:val="100"/>
          <w:szCs w:val="100"/>
        </w:rPr>
        <w:t>文</w:t>
      </w:r>
      <w:r>
        <w:rPr>
          <w:rFonts w:hint="eastAsia" w:ascii="Times New Roman" w:hAnsi="Times New Roman"/>
          <w:b/>
          <w:sz w:val="100"/>
          <w:szCs w:val="100"/>
        </w:rPr>
        <w:t xml:space="preserve"> </w:t>
      </w:r>
      <w:r>
        <w:rPr>
          <w:rFonts w:hint="eastAsia" w:ascii="Times New Roman" w:hAnsi="宋体"/>
          <w:b/>
          <w:sz w:val="100"/>
          <w:szCs w:val="100"/>
        </w:rPr>
        <w:t>件</w:t>
      </w:r>
      <w:bookmarkEnd w:id="70"/>
      <w:bookmarkEnd w:id="71"/>
    </w:p>
    <w:p>
      <w:pPr>
        <w:pStyle w:val="11"/>
        <w:spacing w:before="240" w:beforeLines="100"/>
        <w:jc w:val="center"/>
        <w:rPr>
          <w:rFonts w:ascii="Times New Roman" w:hAnsi="Times New Roman" w:eastAsia="黑体"/>
          <w:b/>
          <w:bCs/>
          <w:sz w:val="36"/>
        </w:rPr>
      </w:pPr>
      <w:bookmarkStart w:id="72" w:name="_Toc20572"/>
      <w:bookmarkStart w:id="73" w:name="_Toc15132"/>
      <w:r>
        <w:rPr>
          <w:rFonts w:ascii="Times New Roman" w:hAnsi="Times New Roman" w:eastAsia="黑体"/>
          <w:b/>
          <w:bCs/>
          <w:sz w:val="36"/>
        </w:rPr>
        <w:t>招标编号：</w:t>
      </w:r>
      <w:bookmarkEnd w:id="72"/>
      <w:bookmarkEnd w:id="73"/>
      <w:r>
        <w:rPr>
          <w:rFonts w:ascii="Times New Roman" w:hAnsi="Times New Roman" w:eastAsia="黑体"/>
          <w:b/>
          <w:bCs/>
          <w:sz w:val="36"/>
        </w:rPr>
        <w:t>ZB23X003</w:t>
      </w:r>
      <w:r>
        <w:rPr>
          <w:rFonts w:hint="eastAsia" w:ascii="Times New Roman" w:hAnsi="Times New Roman" w:eastAsia="黑体"/>
          <w:b/>
          <w:bCs/>
          <w:sz w:val="36"/>
        </w:rPr>
        <w:t xml:space="preserve">     </w:t>
      </w:r>
    </w:p>
    <w:p>
      <w:pPr>
        <w:pStyle w:val="23"/>
        <w:jc w:val="center"/>
        <w:rPr>
          <w:rFonts w:hint="default" w:ascii="Times New Roman" w:hAnsi="Times New Roman" w:eastAsia="黑体"/>
          <w:b/>
          <w:sz w:val="30"/>
          <w:szCs w:val="30"/>
        </w:rPr>
      </w:pPr>
      <w:r>
        <w:rPr>
          <w:rFonts w:ascii="Times New Roman" w:hAnsi="Times New Roman" w:eastAsia="黑体" w:cs="黑体"/>
          <w:b/>
          <w:spacing w:val="-10"/>
          <w:sz w:val="30"/>
          <w:szCs w:val="30"/>
        </w:rPr>
        <w:t>（服务名称：资产评估机构备选库项目</w:t>
      </w:r>
      <w:r>
        <w:rPr>
          <w:rFonts w:ascii="Times New Roman" w:hAnsi="Times New Roman" w:eastAsia="黑体"/>
          <w:b/>
          <w:sz w:val="30"/>
          <w:szCs w:val="30"/>
        </w:rPr>
        <w:t>）</w:t>
      </w:r>
    </w:p>
    <w:p>
      <w:pPr>
        <w:pStyle w:val="11"/>
        <w:spacing w:before="240" w:beforeLines="100"/>
        <w:jc w:val="center"/>
        <w:rPr>
          <w:rFonts w:ascii="Times New Roman" w:hAnsi="Times New Roman" w:eastAsia="黑体"/>
          <w:b/>
          <w:bCs/>
          <w:sz w:val="36"/>
        </w:rPr>
      </w:pPr>
    </w:p>
    <w:p>
      <w:pPr>
        <w:pStyle w:val="11"/>
        <w:jc w:val="center"/>
        <w:rPr>
          <w:rFonts w:ascii="Times New Roman" w:hAnsi="Times New Roman" w:eastAsia="黑体"/>
          <w:sz w:val="32"/>
          <w:szCs w:val="32"/>
        </w:rPr>
      </w:pPr>
    </w:p>
    <w:p>
      <w:pPr>
        <w:jc w:val="center"/>
        <w:rPr>
          <w:rFonts w:ascii="宋体" w:hAnsi="宋体"/>
          <w:sz w:val="28"/>
          <w:szCs w:val="28"/>
        </w:rPr>
      </w:pPr>
      <w:bookmarkStart w:id="74" w:name="_Toc22779"/>
      <w:bookmarkStart w:id="75" w:name="_Toc22970"/>
      <w:r>
        <w:rPr>
          <w:rFonts w:ascii="宋体" w:hAnsi="宋体"/>
          <w:sz w:val="28"/>
          <w:szCs w:val="28"/>
        </w:rPr>
        <w:t>投标人：                      （盖单位章）</w:t>
      </w:r>
      <w:bookmarkEnd w:id="74"/>
      <w:bookmarkEnd w:id="75"/>
    </w:p>
    <w:p>
      <w:pPr>
        <w:jc w:val="center"/>
        <w:rPr>
          <w:rFonts w:ascii="宋体" w:hAnsi="宋体"/>
          <w:sz w:val="28"/>
          <w:szCs w:val="28"/>
        </w:rPr>
      </w:pPr>
    </w:p>
    <w:p>
      <w:pPr>
        <w:jc w:val="center"/>
        <w:rPr>
          <w:rFonts w:hAnsi="宋体"/>
          <w:sz w:val="28"/>
          <w:szCs w:val="28"/>
        </w:rPr>
      </w:pPr>
      <w:r>
        <w:rPr>
          <w:rFonts w:hint="eastAsia" w:ascii="宋体" w:hAnsi="宋体"/>
          <w:sz w:val="28"/>
          <w:szCs w:val="28"/>
        </w:rPr>
        <w:t xml:space="preserve">    </w:t>
      </w:r>
      <w:bookmarkStart w:id="76" w:name="_Toc6244"/>
      <w:bookmarkStart w:id="77" w:name="_Toc19089"/>
      <w:r>
        <w:rPr>
          <w:rFonts w:ascii="宋体" w:hAnsi="宋体"/>
          <w:sz w:val="28"/>
          <w:szCs w:val="28"/>
        </w:rPr>
        <w:t>法定代表人或其</w:t>
      </w:r>
      <w:r>
        <w:rPr>
          <w:rFonts w:hint="eastAsia" w:ascii="宋体" w:hAnsi="宋体"/>
          <w:sz w:val="28"/>
          <w:szCs w:val="28"/>
        </w:rPr>
        <w:t>授权代表</w:t>
      </w:r>
      <w:r>
        <w:rPr>
          <w:rFonts w:ascii="宋体" w:hAnsi="宋体"/>
          <w:sz w:val="28"/>
          <w:szCs w:val="28"/>
        </w:rPr>
        <w:t>：          （签字</w:t>
      </w:r>
      <w:r>
        <w:rPr>
          <w:rFonts w:hint="eastAsia" w:ascii="宋体" w:hAnsi="宋体"/>
          <w:sz w:val="28"/>
          <w:szCs w:val="28"/>
        </w:rPr>
        <w:t>或盖章</w:t>
      </w:r>
      <w:r>
        <w:rPr>
          <w:rFonts w:ascii="宋体" w:hAnsi="宋体"/>
          <w:sz w:val="28"/>
          <w:szCs w:val="28"/>
        </w:rPr>
        <w:t>）</w:t>
      </w:r>
      <w:bookmarkEnd w:id="76"/>
      <w:bookmarkEnd w:id="77"/>
      <w:bookmarkStart w:id="78" w:name="_Toc369178483"/>
      <w:bookmarkStart w:id="79" w:name="_Toc367618345"/>
      <w:bookmarkStart w:id="80" w:name="_Toc367612950"/>
      <w:bookmarkStart w:id="81" w:name="_Toc384647589"/>
      <w:bookmarkStart w:id="82" w:name="_Toc367612331"/>
      <w:bookmarkStart w:id="83" w:name="_Toc383010834"/>
      <w:bookmarkStart w:id="84" w:name="_Toc377135464"/>
      <w:bookmarkStart w:id="85" w:name="_Toc373224054"/>
      <w:bookmarkStart w:id="86" w:name="_Toc374974939"/>
      <w:bookmarkStart w:id="87" w:name="_Toc384978828"/>
      <w:bookmarkStart w:id="88" w:name="_Toc367284222"/>
      <w:bookmarkStart w:id="89" w:name="_Toc391928568"/>
      <w:bookmarkStart w:id="90" w:name="_Toc385957318"/>
      <w:bookmarkStart w:id="91" w:name="_Toc377479149"/>
      <w:r>
        <w:rPr>
          <w:rFonts w:hint="eastAsia" w:hAnsi="宋体"/>
          <w:sz w:val="28"/>
          <w:szCs w:val="28"/>
        </w:rPr>
        <w:t xml:space="preserve">       </w:t>
      </w:r>
      <w:bookmarkStart w:id="92" w:name="_Toc466418550"/>
      <w:bookmarkStart w:id="93" w:name="_Toc464201476"/>
      <w:bookmarkStart w:id="94" w:name="_Toc423642468"/>
      <w:bookmarkStart w:id="95" w:name="_Toc487729214"/>
      <w:bookmarkStart w:id="96" w:name="_Toc448501660"/>
      <w:bookmarkStart w:id="97" w:name="_Toc435110311"/>
      <w:bookmarkStart w:id="98" w:name="_Toc462798892"/>
      <w:bookmarkStart w:id="99" w:name="_Toc462852146"/>
      <w:bookmarkStart w:id="100" w:name="_Toc415239215"/>
      <w:bookmarkStart w:id="101" w:name="_Toc423111703"/>
      <w:bookmarkStart w:id="102" w:name="_Toc450753170"/>
      <w:bookmarkStart w:id="103" w:name="_Toc426109214"/>
      <w:bookmarkStart w:id="104" w:name="_Toc423973421"/>
      <w:bookmarkStart w:id="105" w:name="_Toc423639432"/>
      <w:bookmarkStart w:id="106" w:name="_Toc450749578"/>
      <w:bookmarkStart w:id="107" w:name="_Toc462262275"/>
      <w:bookmarkStart w:id="108" w:name="_Toc425606770"/>
      <w:bookmarkStart w:id="109" w:name="_Toc449391739"/>
      <w:bookmarkStart w:id="110" w:name="_Toc26047"/>
      <w:bookmarkStart w:id="111" w:name="_Toc425632866"/>
      <w:bookmarkStart w:id="112" w:name="_Toc492160787"/>
      <w:bookmarkStart w:id="113" w:name="_Toc462795934"/>
      <w:bookmarkStart w:id="114" w:name="_Toc487725592"/>
      <w:bookmarkStart w:id="115" w:name="_Toc462269611"/>
      <w:bookmarkStart w:id="116" w:name="_Toc476758408"/>
      <w:bookmarkStart w:id="117" w:name="_Toc423650051"/>
      <w:bookmarkStart w:id="118" w:name="_Toc423646757"/>
      <w:bookmarkStart w:id="119" w:name="_Toc416105153"/>
      <w:bookmarkStart w:id="120" w:name="_Toc447816209"/>
      <w:bookmarkStart w:id="121" w:name="_Toc448243374"/>
      <w:bookmarkStart w:id="122" w:name="_Toc479101908"/>
      <w:bookmarkStart w:id="123" w:name="_Toc435109974"/>
      <w:bookmarkStart w:id="124" w:name="_Toc475029271"/>
      <w:bookmarkStart w:id="125" w:name="_Toc483866723"/>
      <w:bookmarkStart w:id="126" w:name="_Toc467151289"/>
      <w:bookmarkStart w:id="127" w:name="_Toc10119"/>
      <w:bookmarkStart w:id="128" w:name="_Toc416028928"/>
      <w:bookmarkStart w:id="129" w:name="_Toc492153910"/>
      <w:bookmarkStart w:id="130" w:name="_Toc425806683"/>
    </w:p>
    <w:p>
      <w:pPr>
        <w:jc w:val="center"/>
        <w:rPr>
          <w:rFonts w:hAnsi="宋体"/>
          <w:sz w:val="28"/>
          <w:szCs w:val="28"/>
        </w:rPr>
      </w:pPr>
    </w:p>
    <w:p>
      <w:pPr>
        <w:jc w:val="center"/>
        <w:rPr>
          <w:lang w:val="zh-TW"/>
        </w:rPr>
      </w:pPr>
      <w:r>
        <w:rPr>
          <w:rFonts w:hAnsi="宋体"/>
          <w:sz w:val="28"/>
          <w:szCs w:val="28"/>
        </w:rPr>
        <w:t>年   月   日</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pPr>
        <w:pStyle w:val="4"/>
        <w:ind w:firstLine="0"/>
        <w:jc w:val="center"/>
      </w:pPr>
      <w:bookmarkStart w:id="131" w:name="_Toc487725593"/>
      <w:bookmarkStart w:id="132" w:name="_Toc492153911"/>
      <w:bookmarkStart w:id="133" w:name="_Toc510960154"/>
      <w:bookmarkStart w:id="134" w:name="_Toc143524354"/>
      <w:bookmarkStart w:id="135" w:name="_Toc479101909"/>
      <w:bookmarkStart w:id="136" w:name="_Toc31083"/>
      <w:bookmarkStart w:id="137" w:name="_Toc492160788"/>
      <w:bookmarkStart w:id="138" w:name="_Toc21202"/>
      <w:bookmarkStart w:id="139" w:name="_Toc1908830"/>
      <w:bookmarkStart w:id="140" w:name="_Toc26451"/>
      <w:bookmarkStart w:id="141" w:name="_Toc1908228"/>
      <w:bookmarkStart w:id="142" w:name="_Toc487729215"/>
      <w:bookmarkStart w:id="143" w:name="_Toc505931938"/>
      <w:bookmarkStart w:id="144" w:name="_Toc505929163"/>
      <w:bookmarkStart w:id="145" w:name="_Toc476758409"/>
      <w:bookmarkStart w:id="146" w:name="_Toc30980"/>
      <w:bookmarkStart w:id="147" w:name="_Toc510446196"/>
      <w:bookmarkStart w:id="148" w:name="_Toc483866724"/>
      <w:r>
        <w:t>目  录</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pPr>
        <w:ind w:firstLine="0"/>
        <w:jc w:val="center"/>
        <w:rPr>
          <w:b/>
        </w:rPr>
      </w:pPr>
      <w:bookmarkStart w:id="149" w:name="_Toc476758410"/>
      <w:bookmarkStart w:id="150" w:name="_Toc487729216"/>
      <w:bookmarkStart w:id="151" w:name="_Toc9156"/>
      <w:bookmarkStart w:id="152" w:name="_Toc483866725"/>
      <w:bookmarkStart w:id="153" w:name="_Toc479101910"/>
      <w:bookmarkStart w:id="154" w:name="_Toc492160789"/>
      <w:bookmarkStart w:id="155" w:name="_Toc25714"/>
      <w:bookmarkStart w:id="156" w:name="_Toc492153912"/>
      <w:bookmarkStart w:id="157" w:name="_Toc487725594"/>
      <w:r>
        <w:rPr>
          <w:rFonts w:hint="eastAsia"/>
          <w:b/>
        </w:rPr>
        <w:t>（投标人自行编制）</w:t>
      </w:r>
      <w:bookmarkEnd w:id="149"/>
      <w:bookmarkEnd w:id="150"/>
      <w:bookmarkEnd w:id="151"/>
      <w:bookmarkEnd w:id="152"/>
      <w:bookmarkEnd w:id="153"/>
      <w:bookmarkEnd w:id="154"/>
      <w:bookmarkEnd w:id="155"/>
      <w:bookmarkEnd w:id="156"/>
      <w:bookmarkEnd w:id="157"/>
    </w:p>
    <w:p>
      <w:pPr>
        <w:rPr>
          <w:lang w:val="zh-TW"/>
        </w:rPr>
      </w:pPr>
    </w:p>
    <w:p>
      <w:pPr>
        <w:rPr>
          <w:lang w:val="zh-TW"/>
        </w:rPr>
      </w:pPr>
    </w:p>
    <w:p>
      <w:pPr>
        <w:rPr>
          <w:lang w:val="zh-TW"/>
        </w:rPr>
      </w:pPr>
    </w:p>
    <w:p>
      <w:pPr>
        <w:rPr>
          <w:lang w:val="zh-TW"/>
        </w:rPr>
      </w:pPr>
    </w:p>
    <w:p>
      <w:pPr>
        <w:rPr>
          <w:lang w:val="zh-TW"/>
        </w:rPr>
      </w:pPr>
    </w:p>
    <w:p>
      <w:pPr>
        <w:rPr>
          <w:lang w:val="zh-TW"/>
        </w:rPr>
      </w:pPr>
    </w:p>
    <w:p>
      <w:pPr>
        <w:rPr>
          <w:lang w:val="zh-TW"/>
        </w:rPr>
      </w:pPr>
    </w:p>
    <w:p>
      <w:pPr>
        <w:rPr>
          <w:lang w:val="zh-TW"/>
        </w:rPr>
      </w:pPr>
    </w:p>
    <w:p>
      <w:pPr>
        <w:rPr>
          <w:lang w:val="zh-TW"/>
        </w:rPr>
      </w:pPr>
    </w:p>
    <w:p>
      <w:pPr>
        <w:rPr>
          <w:lang w:val="zh-TW"/>
        </w:rPr>
      </w:pPr>
    </w:p>
    <w:p>
      <w:pPr>
        <w:rPr>
          <w:lang w:val="zh-TW"/>
        </w:rPr>
      </w:pPr>
    </w:p>
    <w:p>
      <w:pPr>
        <w:rPr>
          <w:lang w:val="zh-TW"/>
        </w:rPr>
      </w:pPr>
    </w:p>
    <w:p>
      <w:pPr>
        <w:ind w:firstLine="0"/>
        <w:rPr>
          <w:lang w:val="zh-TW"/>
        </w:rPr>
      </w:pPr>
    </w:p>
    <w:p>
      <w:pPr>
        <w:rPr>
          <w:lang w:val="zh-TW"/>
        </w:rPr>
      </w:pPr>
    </w:p>
    <w:p>
      <w:pPr>
        <w:rPr>
          <w:lang w:val="zh-TW"/>
        </w:rPr>
      </w:pPr>
    </w:p>
    <w:p>
      <w:pPr>
        <w:rPr>
          <w:lang w:val="zh-TW"/>
        </w:rPr>
      </w:pPr>
    </w:p>
    <w:p>
      <w:pPr>
        <w:rPr>
          <w:lang w:val="zh-TW"/>
        </w:rPr>
      </w:pPr>
    </w:p>
    <w:p>
      <w:pPr>
        <w:rPr>
          <w:lang w:val="zh-TW"/>
        </w:rPr>
      </w:pPr>
    </w:p>
    <w:p>
      <w:pPr>
        <w:rPr>
          <w:lang w:val="zh-TW"/>
        </w:rPr>
      </w:pPr>
    </w:p>
    <w:p>
      <w:pPr>
        <w:rPr>
          <w:lang w:val="zh-TW"/>
        </w:rPr>
      </w:pPr>
    </w:p>
    <w:p>
      <w:pPr>
        <w:rPr>
          <w:lang w:val="zh-TW"/>
        </w:rPr>
      </w:pPr>
    </w:p>
    <w:p>
      <w:pPr>
        <w:rPr>
          <w:lang w:val="zh-TW"/>
        </w:rPr>
      </w:pPr>
    </w:p>
    <w:p>
      <w:pPr>
        <w:rPr>
          <w:lang w:val="zh-TW"/>
        </w:rPr>
      </w:pPr>
    </w:p>
    <w:p>
      <w:pPr>
        <w:rPr>
          <w:lang w:val="zh-TW"/>
        </w:rPr>
      </w:pPr>
    </w:p>
    <w:p>
      <w:pPr>
        <w:rPr>
          <w:lang w:val="zh-TW"/>
        </w:rPr>
      </w:pPr>
    </w:p>
    <w:p>
      <w:pPr>
        <w:rPr>
          <w:lang w:val="zh-TW"/>
        </w:rPr>
      </w:pPr>
    </w:p>
    <w:p>
      <w:pPr>
        <w:rPr>
          <w:lang w:val="zh-TW"/>
        </w:rPr>
      </w:pPr>
    </w:p>
    <w:p>
      <w:pPr>
        <w:rPr>
          <w:lang w:val="zh-TW"/>
        </w:rPr>
      </w:pPr>
    </w:p>
    <w:p>
      <w:pPr>
        <w:rPr>
          <w:lang w:val="zh-TW"/>
        </w:rPr>
      </w:pPr>
    </w:p>
    <w:p>
      <w:pPr>
        <w:rPr>
          <w:lang w:val="zh-TW"/>
        </w:rPr>
      </w:pPr>
    </w:p>
    <w:p>
      <w:pPr>
        <w:pStyle w:val="4"/>
        <w:ind w:firstLine="482"/>
        <w:rPr>
          <w:lang w:val="zh-TW"/>
        </w:rPr>
      </w:pPr>
      <w:bookmarkStart w:id="158" w:name="_Toc13132"/>
      <w:bookmarkStart w:id="159" w:name="_Toc6427"/>
      <w:r>
        <w:rPr>
          <w:rFonts w:hint="eastAsia"/>
        </w:rPr>
        <w:t>5</w:t>
      </w:r>
      <w:r>
        <w:rPr>
          <w:lang w:val="zh-TW"/>
        </w:rPr>
        <w:t>.1投标函格式</w:t>
      </w:r>
      <w:bookmarkEnd w:id="68"/>
      <w:bookmarkEnd w:id="69"/>
      <w:bookmarkEnd w:id="158"/>
      <w:bookmarkEnd w:id="159"/>
    </w:p>
    <w:p>
      <w:pPr>
        <w:pStyle w:val="3"/>
        <w:rPr>
          <w:rFonts w:eastAsia="宋体"/>
          <w:sz w:val="24"/>
          <w:szCs w:val="24"/>
          <w:lang w:val="zh-TW"/>
        </w:rPr>
      </w:pPr>
      <w:bookmarkStart w:id="160" w:name="_Toc4"/>
      <w:bookmarkStart w:id="161" w:name="_Toc15593"/>
      <w:bookmarkStart w:id="162" w:name="_Toc12673"/>
      <w:bookmarkStart w:id="163" w:name="_Toc19978"/>
    </w:p>
    <w:p>
      <w:pPr>
        <w:pStyle w:val="3"/>
        <w:jc w:val="center"/>
        <w:rPr>
          <w:rFonts w:cs="宋体" w:asciiTheme="minorEastAsia" w:hAnsiTheme="minorEastAsia" w:eastAsiaTheme="minorEastAsia"/>
          <w:b/>
          <w:spacing w:val="100"/>
          <w:sz w:val="30"/>
          <w:szCs w:val="30"/>
          <w:lang w:val="zh-TW"/>
        </w:rPr>
      </w:pPr>
      <w:r>
        <w:rPr>
          <w:rFonts w:cs="宋体" w:asciiTheme="minorEastAsia" w:hAnsiTheme="minorEastAsia" w:eastAsiaTheme="minorEastAsia"/>
          <w:b/>
          <w:spacing w:val="100"/>
          <w:sz w:val="30"/>
          <w:szCs w:val="30"/>
          <w:lang w:val="zh-TW" w:eastAsia="zh-TW"/>
        </w:rPr>
        <w:t>投标函</w:t>
      </w:r>
    </w:p>
    <w:p>
      <w:pPr>
        <w:pStyle w:val="3"/>
        <w:spacing w:line="360" w:lineRule="auto"/>
        <w:rPr>
          <w:rFonts w:cs="宋体" w:asciiTheme="minorEastAsia" w:hAnsiTheme="minorEastAsia" w:eastAsiaTheme="minorEastAsia"/>
          <w:bCs/>
          <w:sz w:val="24"/>
          <w:szCs w:val="24"/>
        </w:rPr>
      </w:pPr>
    </w:p>
    <w:p>
      <w:pPr>
        <w:pStyle w:val="3"/>
        <w:spacing w:line="360" w:lineRule="auto"/>
        <w:rPr>
          <w:rFonts w:cs="宋体" w:asciiTheme="minorEastAsia" w:hAnsiTheme="minorEastAsia" w:eastAsiaTheme="minorEastAsia"/>
          <w:bCs/>
          <w:sz w:val="24"/>
          <w:szCs w:val="24"/>
          <w:u w:val="single"/>
        </w:rPr>
      </w:pPr>
      <w:r>
        <w:rPr>
          <w:rFonts w:hint="eastAsia" w:cs="宋体" w:asciiTheme="minorEastAsia" w:hAnsiTheme="minorEastAsia" w:eastAsiaTheme="minorEastAsia"/>
          <w:bCs/>
          <w:sz w:val="24"/>
          <w:szCs w:val="24"/>
          <w:lang w:eastAsia="zh-TW"/>
        </w:rPr>
        <w:t>致：</w:t>
      </w:r>
      <w:r>
        <w:rPr>
          <w:rFonts w:hint="eastAsia" w:cs="宋体" w:asciiTheme="minorEastAsia" w:hAnsiTheme="minorEastAsia" w:eastAsiaTheme="minorEastAsia"/>
          <w:bCs/>
          <w:sz w:val="24"/>
          <w:szCs w:val="24"/>
          <w:u w:val="single"/>
        </w:rPr>
        <w:t>太原重型机械集团有限公司</w:t>
      </w:r>
    </w:p>
    <w:p>
      <w:pPr>
        <w:pStyle w:val="3"/>
        <w:spacing w:line="360" w:lineRule="auto"/>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 xml:space="preserve">    （</w:t>
      </w:r>
      <w:r>
        <w:rPr>
          <w:rFonts w:hint="eastAsia" w:cs="宋体" w:asciiTheme="minorEastAsia" w:hAnsiTheme="minorEastAsia" w:eastAsiaTheme="minorEastAsia"/>
          <w:bCs/>
          <w:sz w:val="24"/>
          <w:szCs w:val="24"/>
          <w:u w:val="single"/>
        </w:rPr>
        <w:t>投标人名称）</w:t>
      </w:r>
      <w:r>
        <w:rPr>
          <w:rFonts w:hint="eastAsia" w:cs="宋体" w:asciiTheme="minorEastAsia" w:hAnsiTheme="minorEastAsia" w:eastAsiaTheme="minorEastAsia"/>
          <w:bCs/>
          <w:sz w:val="24"/>
          <w:szCs w:val="24"/>
        </w:rPr>
        <w:t>授权</w:t>
      </w:r>
      <w:r>
        <w:rPr>
          <w:rFonts w:hint="eastAsia" w:cs="宋体" w:asciiTheme="minorEastAsia" w:hAnsiTheme="minorEastAsia" w:eastAsiaTheme="minorEastAsia"/>
          <w:bCs/>
          <w:sz w:val="24"/>
          <w:szCs w:val="24"/>
          <w:u w:val="single"/>
        </w:rPr>
        <w:t>（被授权人姓名）</w:t>
      </w:r>
      <w:r>
        <w:rPr>
          <w:rFonts w:hint="eastAsia" w:cs="宋体" w:asciiTheme="minorEastAsia" w:hAnsiTheme="minorEastAsia" w:eastAsiaTheme="minorEastAsia"/>
          <w:bCs/>
          <w:sz w:val="24"/>
          <w:szCs w:val="24"/>
        </w:rPr>
        <w:t>为我单位全权代表，参加贵方组织的</w:t>
      </w:r>
      <w:r>
        <w:rPr>
          <w:rFonts w:hint="eastAsia" w:cs="宋体" w:asciiTheme="minorEastAsia" w:hAnsiTheme="minorEastAsia" w:eastAsiaTheme="minorEastAsia"/>
          <w:bCs/>
          <w:sz w:val="24"/>
          <w:szCs w:val="24"/>
          <w:u w:val="single"/>
        </w:rPr>
        <w:t xml:space="preserve">     公开选聘资产评估机构备选库项目（招标编号：         ）</w:t>
      </w:r>
      <w:r>
        <w:rPr>
          <w:rFonts w:hint="eastAsia" w:cs="宋体" w:asciiTheme="minorEastAsia" w:hAnsiTheme="minorEastAsia" w:eastAsiaTheme="minorEastAsia"/>
          <w:bCs/>
          <w:sz w:val="24"/>
          <w:szCs w:val="24"/>
        </w:rPr>
        <w:t>招标的有关活动，并进行投标。为此：</w:t>
      </w:r>
    </w:p>
    <w:p>
      <w:pPr>
        <w:pStyle w:val="3"/>
        <w:spacing w:line="360" w:lineRule="auto"/>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 xml:space="preserve"> 1.提供招标文件规定的全部投标文件：经签章的投标文件(正本1份，副本2份），并提供电子版投标文件。</w:t>
      </w:r>
    </w:p>
    <w:p>
      <w:pPr>
        <w:pStyle w:val="3"/>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2.遵守招标文件中的有关规定和收费标准。</w:t>
      </w:r>
    </w:p>
    <w:p>
      <w:pPr>
        <w:pStyle w:val="3"/>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3.保证诚实地执行双方所签订的合同，并承担合同规定的责任和义务。</w:t>
      </w:r>
    </w:p>
    <w:p>
      <w:pPr>
        <w:pStyle w:val="3"/>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4.愿意向贵方提供任何与该投标项目有关的信息和资料。</w:t>
      </w:r>
    </w:p>
    <w:p>
      <w:pPr>
        <w:pStyle w:val="3"/>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5.我方承诺在投标有效期内不撤销投标文件。</w:t>
      </w:r>
    </w:p>
    <w:p>
      <w:pPr>
        <w:pStyle w:val="3"/>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6.我方在此声明，所递交的投标文件及有关资料内容完整、真实和准确。</w:t>
      </w:r>
    </w:p>
    <w:p>
      <w:pPr>
        <w:pStyle w:val="3"/>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7.如我方中标，我方承诺：</w:t>
      </w:r>
    </w:p>
    <w:p>
      <w:pPr>
        <w:pStyle w:val="3"/>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（1）在收到中标通知书后，在中标通知书规定的期限内与你方签订合同；</w:t>
      </w:r>
    </w:p>
    <w:p>
      <w:pPr>
        <w:pStyle w:val="3"/>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（2）在签订合同时不向你方提出附加条件；</w:t>
      </w:r>
    </w:p>
    <w:p>
      <w:pPr>
        <w:pStyle w:val="3"/>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（3）在合同约定的期限内完成合同规定的全部义务。</w:t>
      </w:r>
    </w:p>
    <w:p>
      <w:pPr>
        <w:pStyle w:val="3"/>
        <w:spacing w:line="360" w:lineRule="auto"/>
        <w:rPr>
          <w:rFonts w:asciiTheme="minorEastAsia" w:hAnsiTheme="minorEastAsia" w:eastAsiaTheme="minorEastAsia"/>
          <w:bCs/>
          <w:sz w:val="24"/>
          <w:szCs w:val="24"/>
        </w:rPr>
      </w:pPr>
      <w:r>
        <w:rPr>
          <w:rFonts w:hint="eastAsia" w:asciiTheme="minorEastAsia" w:hAnsiTheme="minorEastAsia" w:eastAsiaTheme="minorEastAsia"/>
          <w:sz w:val="24"/>
          <w:szCs w:val="24"/>
        </w:rPr>
        <w:t xml:space="preserve">   8.与本投标有关的一切往来通讯如下：</w:t>
      </w:r>
    </w:p>
    <w:p>
      <w:pPr>
        <w:spacing w:line="400" w:lineRule="exact"/>
        <w:ind w:firstLine="720" w:firstLineChars="300"/>
        <w:rPr>
          <w:u w:val="none"/>
        </w:rPr>
      </w:pPr>
      <w:r>
        <w:rPr>
          <w:rFonts w:hint="eastAsia"/>
          <w:u w:val="none"/>
        </w:rPr>
        <w:t xml:space="preserve">联系人：            </w:t>
      </w:r>
      <w:r>
        <w:rPr>
          <w:u w:val="none"/>
        </w:rPr>
        <w:t>地址：</w:t>
      </w:r>
    </w:p>
    <w:p>
      <w:pPr>
        <w:spacing w:line="400" w:lineRule="exact"/>
        <w:ind w:firstLine="720" w:firstLineChars="300"/>
        <w:rPr>
          <w:u w:val="none"/>
        </w:rPr>
      </w:pPr>
      <w:r>
        <w:rPr>
          <w:u w:val="none"/>
        </w:rPr>
        <w:t>传真：</w:t>
      </w:r>
      <w:r>
        <w:rPr>
          <w:rFonts w:hint="eastAsia"/>
          <w:u w:val="none"/>
        </w:rPr>
        <w:t xml:space="preserve">                </w:t>
      </w:r>
      <w:r>
        <w:rPr>
          <w:u w:val="none"/>
        </w:rPr>
        <w:t>电话：</w:t>
      </w:r>
    </w:p>
    <w:p>
      <w:pPr>
        <w:spacing w:line="400" w:lineRule="exact"/>
        <w:ind w:left="960" w:leftChars="300" w:hanging="240" w:hangingChars="100"/>
        <w:rPr>
          <w:u w:val="none"/>
        </w:rPr>
      </w:pPr>
      <w:r>
        <w:rPr>
          <w:u w:val="none"/>
        </w:rPr>
        <w:t>电子函件：</w:t>
      </w:r>
    </w:p>
    <w:p>
      <w:pPr>
        <w:spacing w:line="400" w:lineRule="exact"/>
        <w:ind w:left="960" w:hanging="960" w:hangingChars="400"/>
        <w:rPr>
          <w:u w:val="none"/>
        </w:rPr>
      </w:pPr>
    </w:p>
    <w:p>
      <w:pPr>
        <w:spacing w:line="400" w:lineRule="exact"/>
        <w:ind w:left="960" w:hanging="960" w:hangingChars="400"/>
        <w:rPr>
          <w:u w:val="none"/>
        </w:rPr>
      </w:pPr>
    </w:p>
    <w:p>
      <w:pPr>
        <w:snapToGrid/>
        <w:spacing w:line="400" w:lineRule="exact"/>
        <w:ind w:left="960" w:leftChars="400" w:firstLine="3360" w:firstLineChars="1400"/>
        <w:rPr>
          <w:rFonts w:asciiTheme="minorEastAsia" w:hAnsiTheme="minorEastAsia" w:eastAsiaTheme="minorEastAsia"/>
          <w:u w:val="none"/>
        </w:rPr>
      </w:pPr>
      <w:r>
        <w:rPr>
          <w:rFonts w:hint="eastAsia" w:asciiTheme="minorEastAsia" w:hAnsiTheme="minorEastAsia" w:eastAsiaTheme="minorEastAsia"/>
          <w:u w:val="none"/>
        </w:rPr>
        <w:t>投标单位</w:t>
      </w:r>
      <w:r>
        <w:rPr>
          <w:rFonts w:asciiTheme="minorEastAsia" w:hAnsiTheme="minorEastAsia" w:eastAsiaTheme="minorEastAsia"/>
          <w:u w:val="none"/>
        </w:rPr>
        <w:t>名称</w:t>
      </w:r>
      <w:r>
        <w:rPr>
          <w:rFonts w:hint="eastAsia" w:asciiTheme="minorEastAsia" w:hAnsiTheme="minorEastAsia" w:eastAsiaTheme="minorEastAsia"/>
          <w:u w:val="none"/>
        </w:rPr>
        <w:t>：</w:t>
      </w:r>
    </w:p>
    <w:p>
      <w:pPr>
        <w:spacing w:before="120"/>
        <w:ind w:firstLine="4200" w:firstLineChars="1750"/>
        <w:rPr>
          <w:rFonts w:asciiTheme="minorEastAsia" w:hAnsiTheme="minorEastAsia" w:eastAsiaTheme="minorEastAsia"/>
          <w:u w:val="none"/>
        </w:rPr>
      </w:pPr>
      <w:r>
        <w:rPr>
          <w:rFonts w:asciiTheme="minorEastAsia" w:hAnsiTheme="minorEastAsia" w:eastAsiaTheme="minorEastAsia"/>
          <w:u w:val="none"/>
        </w:rPr>
        <w:t>（</w:t>
      </w:r>
      <w:r>
        <w:rPr>
          <w:rFonts w:hint="eastAsia" w:asciiTheme="minorEastAsia" w:hAnsiTheme="minorEastAsia" w:eastAsiaTheme="minorEastAsia"/>
          <w:u w:val="none"/>
        </w:rPr>
        <w:t>加盖公</w:t>
      </w:r>
      <w:r>
        <w:rPr>
          <w:rFonts w:asciiTheme="minorEastAsia" w:hAnsiTheme="minorEastAsia" w:eastAsiaTheme="minorEastAsia"/>
          <w:u w:val="none"/>
        </w:rPr>
        <w:t>章</w:t>
      </w:r>
      <w:r>
        <w:rPr>
          <w:rFonts w:hint="eastAsia" w:asciiTheme="minorEastAsia" w:hAnsiTheme="minorEastAsia" w:eastAsiaTheme="minorEastAsia"/>
          <w:u w:val="none"/>
        </w:rPr>
        <w:t>或投标专用章、法人章或</w:t>
      </w:r>
    </w:p>
    <w:p>
      <w:pPr>
        <w:spacing w:before="120"/>
        <w:ind w:firstLine="4920" w:firstLineChars="2050"/>
        <w:rPr>
          <w:rFonts w:asciiTheme="minorEastAsia" w:hAnsiTheme="minorEastAsia" w:eastAsiaTheme="minorEastAsia"/>
          <w:u w:val="none"/>
        </w:rPr>
      </w:pPr>
      <w:r>
        <w:rPr>
          <w:rFonts w:hint="eastAsia" w:asciiTheme="minorEastAsia" w:hAnsiTheme="minorEastAsia" w:eastAsiaTheme="minorEastAsia"/>
          <w:u w:val="none"/>
        </w:rPr>
        <w:t>法人签字或被授权人签字</w:t>
      </w:r>
      <w:r>
        <w:rPr>
          <w:rFonts w:asciiTheme="minorEastAsia" w:hAnsiTheme="minorEastAsia" w:eastAsiaTheme="minorEastAsia"/>
          <w:u w:val="none"/>
        </w:rPr>
        <w:t>）</w:t>
      </w:r>
    </w:p>
    <w:p>
      <w:pPr>
        <w:spacing w:before="120"/>
        <w:ind w:right="720" w:firstLine="4320" w:firstLineChars="1800"/>
        <w:rPr>
          <w:rFonts w:asciiTheme="minorEastAsia" w:hAnsiTheme="minorEastAsia" w:eastAsiaTheme="minorEastAsia"/>
        </w:rPr>
      </w:pPr>
      <w:r>
        <w:rPr>
          <w:rFonts w:hint="eastAsia" w:asciiTheme="minorEastAsia" w:hAnsiTheme="minorEastAsia" w:eastAsiaTheme="minorEastAsia"/>
          <w:u w:val="none"/>
        </w:rPr>
        <w:t>日期：       年   月    日</w:t>
      </w:r>
    </w:p>
    <w:p>
      <w:pPr>
        <w:pStyle w:val="4"/>
        <w:ind w:firstLine="482"/>
        <w:rPr>
          <w:lang w:val="zh-TW"/>
        </w:rPr>
      </w:pPr>
      <w:bookmarkStart w:id="164" w:name="_Toc489533807"/>
      <w:bookmarkStart w:id="165" w:name="_Toc484762141"/>
      <w:bookmarkStart w:id="166" w:name="_Toc17221"/>
      <w:bookmarkStart w:id="167" w:name="_Toc18566"/>
      <w:r>
        <w:rPr>
          <w:rFonts w:hint="eastAsia"/>
        </w:rPr>
        <w:t>5</w:t>
      </w:r>
      <w:r>
        <w:rPr>
          <w:lang w:val="zh-TW"/>
        </w:rPr>
        <w:t>.2法定代表人授权书格式</w:t>
      </w:r>
      <w:bookmarkEnd w:id="164"/>
      <w:bookmarkEnd w:id="165"/>
      <w:bookmarkEnd w:id="166"/>
      <w:bookmarkEnd w:id="167"/>
    </w:p>
    <w:p>
      <w:pPr>
        <w:spacing w:before="120"/>
        <w:rPr>
          <w:rFonts w:asciiTheme="minorEastAsia" w:hAnsiTheme="minorEastAsia" w:eastAsiaTheme="minorEastAsia"/>
        </w:rPr>
      </w:pPr>
    </w:p>
    <w:bookmarkEnd w:id="160"/>
    <w:bookmarkEnd w:id="161"/>
    <w:bookmarkEnd w:id="162"/>
    <w:bookmarkEnd w:id="163"/>
    <w:p>
      <w:pPr>
        <w:pStyle w:val="3"/>
        <w:spacing w:line="360" w:lineRule="auto"/>
        <w:jc w:val="center"/>
        <w:rPr>
          <w:rFonts w:ascii="宋体" w:hAnsi="宋体" w:eastAsia="宋体" w:cs="宋体"/>
          <w:b/>
          <w:bCs/>
          <w:sz w:val="30"/>
          <w:szCs w:val="30"/>
          <w:lang w:val="zh-TW"/>
        </w:rPr>
      </w:pPr>
      <w:r>
        <w:rPr>
          <w:rFonts w:ascii="宋体" w:hAnsi="宋体" w:eastAsia="宋体" w:cs="宋体"/>
          <w:b/>
          <w:bCs/>
          <w:sz w:val="30"/>
          <w:szCs w:val="30"/>
          <w:lang w:val="zh-TW" w:eastAsia="zh-TW"/>
        </w:rPr>
        <w:t>法定代表人授权书</w:t>
      </w:r>
    </w:p>
    <w:p>
      <w:pPr>
        <w:pStyle w:val="3"/>
        <w:spacing w:line="360" w:lineRule="auto"/>
        <w:jc w:val="center"/>
        <w:rPr>
          <w:rFonts w:ascii="宋体" w:hAnsi="宋体" w:eastAsia="宋体" w:cs="宋体"/>
          <w:b/>
          <w:bCs/>
          <w:sz w:val="30"/>
          <w:szCs w:val="30"/>
          <w:lang w:val="zh-TW"/>
        </w:rPr>
      </w:pPr>
    </w:p>
    <w:p>
      <w:pPr>
        <w:ind w:firstLine="0"/>
      </w:pPr>
      <w:r>
        <w:rPr>
          <w:rFonts w:hint="eastAsia"/>
          <w:u w:val="none"/>
          <w:lang w:eastAsia="zh-TW"/>
        </w:rPr>
        <w:t>致：</w:t>
      </w:r>
      <w:r>
        <w:rPr>
          <w:rFonts w:hint="eastAsia"/>
          <w:u w:val="none"/>
        </w:rPr>
        <w:t>太原重型机械集团有限公司</w:t>
      </w:r>
    </w:p>
    <w:p>
      <w:pPr>
        <w:rPr>
          <w:u w:val="none"/>
        </w:rPr>
      </w:pPr>
      <w:r>
        <w:rPr>
          <w:rFonts w:hint="eastAsia"/>
          <w:u w:val="none"/>
        </w:rPr>
        <w:t>本人</w:t>
      </w:r>
      <w:r>
        <w:rPr>
          <w:rFonts w:hint="eastAsia"/>
        </w:rPr>
        <w:t>（法定代表人姓名）</w:t>
      </w:r>
      <w:r>
        <w:rPr>
          <w:rFonts w:hint="eastAsia"/>
          <w:u w:val="none"/>
        </w:rPr>
        <w:t>，</w:t>
      </w:r>
      <w:r>
        <w:rPr>
          <w:u w:val="none"/>
        </w:rPr>
        <w:t>身份证</w:t>
      </w:r>
      <w:r>
        <w:rPr>
          <w:rFonts w:hint="eastAsia"/>
          <w:u w:val="none"/>
        </w:rPr>
        <w:t>号：         ，系</w:t>
      </w:r>
      <w:r>
        <w:rPr>
          <w:rFonts w:hint="eastAsia"/>
        </w:rPr>
        <w:t>（投标单位</w:t>
      </w:r>
      <w:r>
        <w:t>名称</w:t>
      </w:r>
      <w:r>
        <w:rPr>
          <w:rFonts w:hint="eastAsia"/>
        </w:rPr>
        <w:t>）</w:t>
      </w:r>
      <w:r>
        <w:rPr>
          <w:rFonts w:hint="eastAsia"/>
          <w:u w:val="none"/>
        </w:rPr>
        <w:t>的法定代表人，现授权</w:t>
      </w:r>
      <w:r>
        <w:rPr>
          <w:rFonts w:hint="eastAsia"/>
        </w:rPr>
        <w:t>（被授权人</w:t>
      </w:r>
      <w:r>
        <w:t>姓名</w:t>
      </w:r>
      <w:r>
        <w:rPr>
          <w:rFonts w:hint="eastAsia"/>
        </w:rPr>
        <w:t>）</w:t>
      </w:r>
      <w:r>
        <w:rPr>
          <w:rFonts w:hint="eastAsia"/>
          <w:u w:val="none"/>
        </w:rPr>
        <w:t xml:space="preserve">，身份证号 </w:t>
      </w:r>
      <w:r>
        <w:rPr>
          <w:u w:val="none"/>
        </w:rPr>
        <w:t>：</w:t>
      </w:r>
      <w:r>
        <w:rPr>
          <w:rFonts w:hint="eastAsia"/>
          <w:u w:val="none"/>
        </w:rPr>
        <w:t xml:space="preserve">          ，为我</w:t>
      </w:r>
      <w:r>
        <w:rPr>
          <w:u w:val="none"/>
        </w:rPr>
        <w:t>单位</w:t>
      </w:r>
      <w:r>
        <w:rPr>
          <w:rFonts w:hint="eastAsia"/>
          <w:u w:val="none"/>
        </w:rPr>
        <w:t>全权代表，参加贵方组织的</w:t>
      </w:r>
      <w:r>
        <w:rPr>
          <w:rFonts w:hint="eastAsia"/>
        </w:rPr>
        <w:t>公开选聘资产评估机构备选库项目（招标项目编号：）</w:t>
      </w:r>
      <w:r>
        <w:rPr>
          <w:rFonts w:hint="eastAsia"/>
          <w:u w:val="none"/>
        </w:rPr>
        <w:t>招标活动，全权处理招标活动中的一切事宜。</w:t>
      </w:r>
    </w:p>
    <w:p>
      <w:pPr>
        <w:rPr>
          <w:u w:val="none"/>
        </w:rPr>
      </w:pPr>
      <w:r>
        <w:rPr>
          <w:rFonts w:hint="eastAsia"/>
          <w:u w:val="none"/>
        </w:rPr>
        <w:t>授权有效期为：自本招标项目授权之日起至本招标项目招标结束之日止。</w:t>
      </w:r>
    </w:p>
    <w:p/>
    <w:p>
      <w:pPr>
        <w:rPr>
          <w:u w:val="none"/>
        </w:rPr>
      </w:pPr>
      <w:r>
        <w:rPr>
          <w:rFonts w:hint="eastAsia"/>
          <w:u w:val="none"/>
        </w:rPr>
        <w:t>被授权代表签名：</w:t>
      </w:r>
    </w:p>
    <w:p>
      <w:pPr>
        <w:rPr>
          <w:u w:val="none"/>
        </w:rPr>
      </w:pPr>
      <w:r>
        <w:rPr>
          <w:rFonts w:hint="eastAsia"/>
          <w:u w:val="none"/>
        </w:rPr>
        <w:t>被授权代表职务：</w:t>
      </w:r>
    </w:p>
    <w:p>
      <w:pPr>
        <w:rPr>
          <w:u w:val="none"/>
        </w:rPr>
      </w:pPr>
      <w:r>
        <w:rPr>
          <w:rFonts w:hint="eastAsia"/>
          <w:u w:val="none"/>
        </w:rPr>
        <w:t>电话：</w:t>
      </w:r>
    </w:p>
    <w:p>
      <w:pPr>
        <w:rPr>
          <w:u w:val="none"/>
        </w:rPr>
      </w:pPr>
      <w:r>
        <w:rPr>
          <w:rFonts w:hint="eastAsia"/>
          <w:u w:val="none"/>
        </w:rPr>
        <w:t>传真：</w:t>
      </w:r>
    </w:p>
    <w:p>
      <w:pPr>
        <w:rPr>
          <w:u w:val="none"/>
        </w:rPr>
      </w:pPr>
      <w:r>
        <w:rPr>
          <w:rFonts w:hint="eastAsia"/>
          <w:u w:val="none"/>
        </w:rPr>
        <w:t>电子邮箱：</w:t>
      </w:r>
    </w:p>
    <w:p/>
    <w:p/>
    <w:p>
      <w:pPr>
        <w:rPr>
          <w:u w:val="none"/>
        </w:rPr>
      </w:pPr>
      <w:r>
        <w:rPr>
          <w:rFonts w:hint="eastAsia"/>
          <w:u w:val="none"/>
        </w:rPr>
        <w:t>法定代表人签名</w:t>
      </w:r>
      <w:r>
        <w:rPr>
          <w:u w:val="none"/>
        </w:rPr>
        <w:t>（</w:t>
      </w:r>
      <w:r>
        <w:rPr>
          <w:rFonts w:hint="eastAsia"/>
          <w:u w:val="none"/>
        </w:rPr>
        <w:t>或</w:t>
      </w:r>
      <w:r>
        <w:rPr>
          <w:u w:val="none"/>
        </w:rPr>
        <w:t>盖法</w:t>
      </w:r>
      <w:r>
        <w:rPr>
          <w:rFonts w:hint="eastAsia"/>
          <w:u w:val="none"/>
        </w:rPr>
        <w:t>定</w:t>
      </w:r>
      <w:r>
        <w:rPr>
          <w:u w:val="none"/>
        </w:rPr>
        <w:t>代表人名章）</w:t>
      </w:r>
      <w:r>
        <w:rPr>
          <w:rFonts w:hint="eastAsia"/>
          <w:u w:val="none"/>
        </w:rPr>
        <w:t>：</w:t>
      </w:r>
    </w:p>
    <w:p>
      <w:pPr>
        <w:rPr>
          <w:u w:val="none"/>
        </w:rPr>
      </w:pPr>
      <w:r>
        <w:rPr>
          <w:rFonts w:hint="eastAsia"/>
          <w:u w:val="none"/>
        </w:rPr>
        <w:t>投标单位名称（公章</w:t>
      </w:r>
      <w:r>
        <w:rPr>
          <w:u w:val="none"/>
        </w:rPr>
        <w:t>）</w:t>
      </w:r>
      <w:r>
        <w:rPr>
          <w:rFonts w:hint="eastAsia"/>
          <w:u w:val="none"/>
        </w:rPr>
        <w:t>：</w:t>
      </w:r>
    </w:p>
    <w:p>
      <w:pPr>
        <w:rPr>
          <w:u w:val="none"/>
        </w:rPr>
      </w:pPr>
      <w:r>
        <w:rPr>
          <w:rFonts w:hint="eastAsia"/>
          <w:u w:val="none"/>
        </w:rPr>
        <w:t>授权日期：        年     月     日</w:t>
      </w:r>
    </w:p>
    <w:p>
      <w:r>
        <w:rPr>
          <w:rFonts w:hint="eastAsia"/>
          <w:u w:val="none"/>
        </w:rPr>
        <w:t>附：法定代表人身份证复印件、被授权代表身份证复印件（法定代表人参加时无需提供）</w:t>
      </w:r>
    </w:p>
    <w:p>
      <w:pPr>
        <w:pStyle w:val="3"/>
        <w:spacing w:before="157" w:after="157" w:line="360" w:lineRule="auto"/>
        <w:jc w:val="center"/>
        <w:rPr>
          <w:rFonts w:ascii="宋体" w:hAnsi="宋体" w:eastAsia="宋体" w:cs="宋体"/>
          <w:sz w:val="24"/>
          <w:szCs w:val="24"/>
          <w:lang w:val="zh-TW" w:eastAsia="zh-TW"/>
        </w:rPr>
      </w:pPr>
    </w:p>
    <w:p>
      <w:pPr>
        <w:pStyle w:val="3"/>
        <w:spacing w:before="120" w:line="360" w:lineRule="auto"/>
        <w:ind w:firstLine="482"/>
        <w:rPr>
          <w:rFonts w:ascii="宋体" w:hAnsi="宋体" w:eastAsia="宋体" w:cs="宋体"/>
          <w:sz w:val="24"/>
          <w:szCs w:val="24"/>
        </w:rPr>
      </w:pPr>
    </w:p>
    <w:p>
      <w:pPr>
        <w:jc w:val="center"/>
      </w:pPr>
    </w:p>
    <w:p/>
    <w:p>
      <w:pPr>
        <w:sectPr>
          <w:pgSz w:w="11900" w:h="16840"/>
          <w:pgMar w:top="1474" w:right="1701" w:bottom="1418" w:left="1758" w:header="851" w:footer="1134" w:gutter="0"/>
          <w:cols w:space="720" w:num="1"/>
          <w:docGrid w:linePitch="326" w:charSpace="0"/>
        </w:sectPr>
      </w:pPr>
    </w:p>
    <w:p>
      <w:pPr>
        <w:pStyle w:val="4"/>
        <w:ind w:firstLine="482"/>
        <w:rPr>
          <w:lang w:val="zh-TW"/>
        </w:rPr>
      </w:pPr>
      <w:bookmarkStart w:id="168" w:name="_Toc484762142"/>
      <w:bookmarkStart w:id="169" w:name="_Toc31108"/>
      <w:bookmarkStart w:id="170" w:name="_Toc489533808"/>
      <w:bookmarkStart w:id="171" w:name="_Toc6"/>
      <w:bookmarkStart w:id="172" w:name="_Toc11687"/>
      <w:bookmarkStart w:id="173" w:name="_Toc12399"/>
      <w:bookmarkStart w:id="174" w:name="_Toc27924"/>
      <w:bookmarkStart w:id="175" w:name="_Toc15668"/>
      <w:r>
        <w:rPr>
          <w:rFonts w:hint="eastAsia"/>
        </w:rPr>
        <w:t>5</w:t>
      </w:r>
      <w:r>
        <w:rPr>
          <w:lang w:val="zh-TW"/>
        </w:rPr>
        <w:t>.3</w:t>
      </w:r>
      <w:bookmarkEnd w:id="168"/>
      <w:bookmarkEnd w:id="169"/>
      <w:bookmarkEnd w:id="170"/>
      <w:bookmarkEnd w:id="171"/>
      <w:bookmarkEnd w:id="172"/>
      <w:bookmarkEnd w:id="173"/>
      <w:r>
        <w:rPr>
          <w:rFonts w:hint="eastAsia"/>
          <w:lang w:val="zh-TW"/>
        </w:rPr>
        <w:t>资产评估机构入库申请表</w:t>
      </w:r>
      <w:bookmarkEnd w:id="174"/>
      <w:bookmarkEnd w:id="175"/>
    </w:p>
    <w:tbl>
      <w:tblPr>
        <w:tblStyle w:val="25"/>
        <w:tblW w:w="10600" w:type="dxa"/>
        <w:jc w:val="center"/>
        <w:tblLayout w:type="fixed"/>
        <w:tblCellMar>
          <w:top w:w="0" w:type="dxa"/>
          <w:left w:w="108" w:type="dxa"/>
          <w:bottom w:w="0" w:type="dxa"/>
          <w:right w:w="108" w:type="dxa"/>
        </w:tblCellMar>
      </w:tblPr>
      <w:tblGrid>
        <w:gridCol w:w="735"/>
        <w:gridCol w:w="2767"/>
        <w:gridCol w:w="1355"/>
        <w:gridCol w:w="1782"/>
        <w:gridCol w:w="1907"/>
        <w:gridCol w:w="2054"/>
      </w:tblGrid>
      <w:tr>
        <w:tblPrEx>
          <w:tblCellMar>
            <w:top w:w="0" w:type="dxa"/>
            <w:left w:w="108" w:type="dxa"/>
            <w:bottom w:w="0" w:type="dxa"/>
            <w:right w:w="108" w:type="dxa"/>
          </w:tblCellMar>
        </w:tblPrEx>
        <w:trPr>
          <w:trHeight w:val="840" w:hRule="atLeast"/>
          <w:jc w:val="center"/>
        </w:trPr>
        <w:tc>
          <w:tcPr>
            <w:tcW w:w="10600" w:type="dxa"/>
            <w:gridSpan w:val="6"/>
            <w:tcBorders>
              <w:top w:val="nil"/>
              <w:left w:val="nil"/>
              <w:bottom w:val="nil"/>
              <w:right w:val="nil"/>
            </w:tcBorders>
            <w:shd w:val="clear" w:color="auto" w:fill="auto"/>
            <w:noWrap/>
            <w:vAlign w:val="center"/>
          </w:tcPr>
          <w:p>
            <w:pPr>
              <w:widowControl/>
              <w:jc w:val="center"/>
              <w:textAlignment w:val="center"/>
              <w:rPr>
                <w:rFonts w:ascii="宋体" w:hAnsi="宋体" w:cs="宋体"/>
                <w:b/>
                <w:bCs/>
                <w:color w:val="000000"/>
                <w:sz w:val="28"/>
                <w:szCs w:val="28"/>
                <w:u w:val="none"/>
              </w:rPr>
            </w:pPr>
            <w:r>
              <w:rPr>
                <w:rFonts w:hint="eastAsia" w:ascii="宋体" w:hAnsi="宋体" w:cs="宋体"/>
                <w:b/>
                <w:bCs/>
                <w:color w:val="000000"/>
                <w:sz w:val="28"/>
                <w:szCs w:val="28"/>
                <w:u w:val="none"/>
                <w:lang w:bidi="ar"/>
              </w:rPr>
              <w:t>资产评估机构入库申请表</w:t>
            </w:r>
          </w:p>
        </w:tc>
      </w:tr>
      <w:tr>
        <w:tblPrEx>
          <w:tblCellMar>
            <w:top w:w="0" w:type="dxa"/>
            <w:left w:w="108" w:type="dxa"/>
            <w:bottom w:w="0" w:type="dxa"/>
            <w:right w:w="108" w:type="dxa"/>
          </w:tblCellMar>
        </w:tblPrEx>
        <w:trPr>
          <w:trHeight w:val="285" w:hRule="atLeast"/>
          <w:jc w:val="center"/>
        </w:trPr>
        <w:tc>
          <w:tcPr>
            <w:tcW w:w="350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ascii="仿宋_GB2312" w:hAnsi="宋体" w:eastAsia="仿宋_GB2312" w:cs="仿宋_GB2312"/>
                <w:color w:val="000000"/>
                <w:u w:val="none"/>
              </w:rPr>
            </w:pPr>
            <w:r>
              <w:rPr>
                <w:rFonts w:hint="eastAsia" w:ascii="仿宋_GB2312" w:hAnsi="宋体" w:eastAsia="仿宋_GB2312" w:cs="仿宋_GB2312"/>
                <w:color w:val="000000"/>
                <w:u w:val="none"/>
                <w:lang w:bidi="ar"/>
              </w:rPr>
              <w:t>申请入库类别</w:t>
            </w:r>
          </w:p>
        </w:tc>
        <w:tc>
          <w:tcPr>
            <w:tcW w:w="6615" w:type="dxa"/>
            <w:gridSpan w:val="4"/>
            <w:tcBorders>
              <w:top w:val="single" w:color="000000" w:sz="4" w:space="0"/>
              <w:left w:val="nil"/>
              <w:bottom w:val="nil"/>
              <w:right w:val="single" w:color="000000" w:sz="4" w:space="0"/>
            </w:tcBorders>
            <w:shd w:val="clear" w:color="auto" w:fill="auto"/>
            <w:noWrap/>
            <w:vAlign w:val="center"/>
          </w:tcPr>
          <w:p>
            <w:pPr>
              <w:widowControl/>
              <w:ind w:firstLine="0"/>
              <w:jc w:val="left"/>
              <w:textAlignment w:val="center"/>
              <w:rPr>
                <w:rFonts w:ascii="仿宋_GB2312" w:hAnsi="宋体" w:eastAsia="仿宋_GB2312" w:cs="仿宋_GB2312"/>
                <w:color w:val="000000"/>
                <w:u w:val="none"/>
              </w:rPr>
            </w:pPr>
            <w:r>
              <w:rPr>
                <w:rFonts w:hint="eastAsia" w:ascii="仿宋_GB2312" w:hAnsi="宋体" w:eastAsia="仿宋_GB2312" w:cs="仿宋_GB2312"/>
                <w:color w:val="000000"/>
                <w:u w:val="none"/>
                <w:lang w:bidi="ar"/>
              </w:rPr>
              <w:t>□一般资产评估机构</w:t>
            </w:r>
          </w:p>
        </w:tc>
      </w:tr>
      <w:tr>
        <w:tblPrEx>
          <w:tblCellMar>
            <w:top w:w="0" w:type="dxa"/>
            <w:left w:w="108" w:type="dxa"/>
            <w:bottom w:w="0" w:type="dxa"/>
            <w:right w:w="108" w:type="dxa"/>
          </w:tblCellMar>
        </w:tblPrEx>
        <w:trPr>
          <w:trHeight w:val="285" w:hRule="atLeast"/>
          <w:jc w:val="center"/>
        </w:trPr>
        <w:tc>
          <w:tcPr>
            <w:tcW w:w="350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000000"/>
                <w:u w:val="none"/>
              </w:rPr>
            </w:pPr>
          </w:p>
        </w:tc>
        <w:tc>
          <w:tcPr>
            <w:tcW w:w="6615" w:type="dxa"/>
            <w:gridSpan w:val="4"/>
            <w:tcBorders>
              <w:top w:val="nil"/>
              <w:left w:val="nil"/>
              <w:bottom w:val="nil"/>
              <w:right w:val="single" w:color="000000" w:sz="4" w:space="0"/>
            </w:tcBorders>
            <w:shd w:val="clear" w:color="auto" w:fill="auto"/>
            <w:noWrap/>
            <w:vAlign w:val="center"/>
          </w:tcPr>
          <w:p>
            <w:pPr>
              <w:widowControl/>
              <w:ind w:firstLine="0"/>
              <w:jc w:val="left"/>
              <w:textAlignment w:val="center"/>
              <w:rPr>
                <w:rFonts w:ascii="仿宋_GB2312" w:hAnsi="宋体" w:eastAsia="仿宋_GB2312" w:cs="仿宋_GB2312"/>
                <w:color w:val="000000"/>
                <w:u w:val="none"/>
              </w:rPr>
            </w:pPr>
            <w:r>
              <w:rPr>
                <w:rFonts w:hint="eastAsia" w:ascii="仿宋_GB2312" w:hAnsi="宋体" w:eastAsia="仿宋_GB2312" w:cs="仿宋_GB2312"/>
                <w:color w:val="000000"/>
                <w:u w:val="none"/>
                <w:lang w:bidi="ar"/>
              </w:rPr>
              <w:t>□证券期货资质评估机构</w:t>
            </w:r>
          </w:p>
        </w:tc>
      </w:tr>
      <w:tr>
        <w:tblPrEx>
          <w:tblCellMar>
            <w:top w:w="0" w:type="dxa"/>
            <w:left w:w="108" w:type="dxa"/>
            <w:bottom w:w="0" w:type="dxa"/>
            <w:right w:w="108" w:type="dxa"/>
          </w:tblCellMar>
        </w:tblPrEx>
        <w:trPr>
          <w:trHeight w:val="285" w:hRule="atLeast"/>
          <w:jc w:val="center"/>
        </w:trPr>
        <w:tc>
          <w:tcPr>
            <w:tcW w:w="350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000000"/>
                <w:u w:val="none"/>
              </w:rPr>
            </w:pPr>
          </w:p>
        </w:tc>
        <w:tc>
          <w:tcPr>
            <w:tcW w:w="6615" w:type="dxa"/>
            <w:gridSpan w:val="4"/>
            <w:tcBorders>
              <w:top w:val="nil"/>
              <w:left w:val="nil"/>
              <w:bottom w:val="nil"/>
              <w:right w:val="single" w:color="000000" w:sz="4" w:space="0"/>
            </w:tcBorders>
            <w:shd w:val="clear" w:color="auto" w:fill="auto"/>
            <w:noWrap/>
            <w:vAlign w:val="center"/>
          </w:tcPr>
          <w:p>
            <w:pPr>
              <w:widowControl/>
              <w:ind w:firstLine="0"/>
              <w:jc w:val="left"/>
              <w:textAlignment w:val="center"/>
              <w:rPr>
                <w:rFonts w:ascii="仿宋_GB2312" w:hAnsi="宋体" w:eastAsia="仿宋_GB2312" w:cs="仿宋_GB2312"/>
                <w:color w:val="000000"/>
                <w:u w:val="none"/>
              </w:rPr>
            </w:pPr>
            <w:r>
              <w:rPr>
                <w:rFonts w:hint="eastAsia" w:ascii="仿宋_GB2312" w:hAnsi="宋体" w:eastAsia="仿宋_GB2312" w:cs="仿宋_GB2312"/>
                <w:color w:val="000000"/>
                <w:u w:val="none"/>
                <w:lang w:bidi="ar"/>
              </w:rPr>
              <w:t>□土地估价资质评估机构</w:t>
            </w:r>
          </w:p>
        </w:tc>
      </w:tr>
      <w:tr>
        <w:tblPrEx>
          <w:tblCellMar>
            <w:top w:w="0" w:type="dxa"/>
            <w:left w:w="108" w:type="dxa"/>
            <w:bottom w:w="0" w:type="dxa"/>
            <w:right w:w="108" w:type="dxa"/>
          </w:tblCellMar>
        </w:tblPrEx>
        <w:trPr>
          <w:trHeight w:val="285" w:hRule="atLeast"/>
          <w:jc w:val="center"/>
        </w:trPr>
        <w:tc>
          <w:tcPr>
            <w:tcW w:w="350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000000"/>
                <w:u w:val="none"/>
              </w:rPr>
            </w:pPr>
          </w:p>
        </w:tc>
        <w:tc>
          <w:tcPr>
            <w:tcW w:w="6615" w:type="dxa"/>
            <w:gridSpan w:val="4"/>
            <w:tcBorders>
              <w:top w:val="nil"/>
              <w:left w:val="nil"/>
              <w:bottom w:val="single" w:color="000000" w:sz="4" w:space="0"/>
              <w:right w:val="single" w:color="000000" w:sz="4" w:space="0"/>
            </w:tcBorders>
            <w:shd w:val="clear" w:color="auto" w:fill="auto"/>
            <w:noWrap/>
            <w:vAlign w:val="center"/>
          </w:tcPr>
          <w:p>
            <w:pPr>
              <w:widowControl/>
              <w:ind w:firstLine="0"/>
              <w:jc w:val="left"/>
              <w:textAlignment w:val="center"/>
              <w:rPr>
                <w:rFonts w:ascii="仿宋_GB2312" w:hAnsi="宋体" w:eastAsia="仿宋_GB2312" w:cs="仿宋_GB2312"/>
                <w:color w:val="000000"/>
                <w:u w:val="none"/>
              </w:rPr>
            </w:pPr>
            <w:r>
              <w:rPr>
                <w:rFonts w:hint="eastAsia" w:ascii="仿宋_GB2312" w:hAnsi="宋体" w:eastAsia="仿宋_GB2312" w:cs="仿宋_GB2312"/>
                <w:color w:val="000000"/>
                <w:u w:val="none"/>
                <w:lang w:bidi="ar"/>
              </w:rPr>
              <w:t>□房地产估价资质评估机构</w:t>
            </w:r>
          </w:p>
        </w:tc>
      </w:tr>
      <w:tr>
        <w:tblPrEx>
          <w:tblCellMar>
            <w:top w:w="0" w:type="dxa"/>
            <w:left w:w="108" w:type="dxa"/>
            <w:bottom w:w="0" w:type="dxa"/>
            <w:right w:w="108" w:type="dxa"/>
          </w:tblCellMar>
        </w:tblPrEx>
        <w:trPr>
          <w:trHeight w:val="285" w:hRule="atLeast"/>
          <w:jc w:val="center"/>
        </w:trPr>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ascii="仿宋_GB2312" w:hAnsi="宋体" w:eastAsia="仿宋_GB2312" w:cs="仿宋_GB2312"/>
                <w:color w:val="000000"/>
                <w:u w:val="none"/>
              </w:rPr>
            </w:pPr>
            <w:r>
              <w:rPr>
                <w:rFonts w:hint="eastAsia" w:ascii="仿宋_GB2312" w:hAnsi="宋体" w:eastAsia="仿宋_GB2312" w:cs="仿宋_GB2312"/>
                <w:color w:val="000000"/>
                <w:u w:val="none"/>
                <w:lang w:bidi="ar"/>
              </w:rPr>
              <w:t>基</w:t>
            </w:r>
            <w:r>
              <w:rPr>
                <w:rFonts w:hint="eastAsia" w:ascii="仿宋_GB2312" w:hAnsi="宋体" w:eastAsia="仿宋_GB2312" w:cs="仿宋_GB2312"/>
                <w:color w:val="000000"/>
                <w:u w:val="none"/>
                <w:lang w:bidi="ar"/>
              </w:rPr>
              <w:br w:type="textWrapping"/>
            </w:r>
            <w:r>
              <w:rPr>
                <w:rFonts w:hint="eastAsia" w:ascii="仿宋_GB2312" w:hAnsi="宋体" w:eastAsia="仿宋_GB2312" w:cs="仿宋_GB2312"/>
                <w:color w:val="000000"/>
                <w:u w:val="none"/>
                <w:lang w:bidi="ar"/>
              </w:rPr>
              <w:t>本</w:t>
            </w:r>
            <w:r>
              <w:rPr>
                <w:rFonts w:hint="eastAsia" w:ascii="仿宋_GB2312" w:hAnsi="宋体" w:eastAsia="仿宋_GB2312" w:cs="仿宋_GB2312"/>
                <w:color w:val="000000"/>
                <w:u w:val="none"/>
                <w:lang w:bidi="ar"/>
              </w:rPr>
              <w:br w:type="textWrapping"/>
            </w:r>
            <w:r>
              <w:rPr>
                <w:rFonts w:hint="eastAsia" w:ascii="仿宋_GB2312" w:hAnsi="宋体" w:eastAsia="仿宋_GB2312" w:cs="仿宋_GB2312"/>
                <w:color w:val="000000"/>
                <w:u w:val="none"/>
                <w:lang w:bidi="ar"/>
              </w:rPr>
              <w:t>情</w:t>
            </w:r>
            <w:r>
              <w:rPr>
                <w:rFonts w:hint="eastAsia" w:ascii="仿宋_GB2312" w:hAnsi="宋体" w:eastAsia="仿宋_GB2312" w:cs="仿宋_GB2312"/>
                <w:color w:val="000000"/>
                <w:u w:val="none"/>
                <w:lang w:bidi="ar"/>
              </w:rPr>
              <w:br w:type="textWrapping"/>
            </w:r>
            <w:r>
              <w:rPr>
                <w:rFonts w:hint="eastAsia" w:ascii="仿宋_GB2312" w:hAnsi="宋体" w:eastAsia="仿宋_GB2312" w:cs="仿宋_GB2312"/>
                <w:color w:val="000000"/>
                <w:u w:val="none"/>
                <w:lang w:bidi="ar"/>
              </w:rPr>
              <w:t>况</w:t>
            </w:r>
          </w:p>
        </w:tc>
        <w:tc>
          <w:tcPr>
            <w:tcW w:w="2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仿宋_GB2312" w:hAnsi="宋体" w:eastAsia="仿宋_GB2312" w:cs="仿宋_GB2312"/>
                <w:color w:val="000000"/>
                <w:u w:val="none"/>
              </w:rPr>
            </w:pPr>
            <w:r>
              <w:rPr>
                <w:rFonts w:hint="eastAsia" w:ascii="仿宋_GB2312" w:hAnsi="宋体" w:eastAsia="仿宋_GB2312" w:cs="仿宋_GB2312"/>
                <w:color w:val="000000"/>
                <w:u w:val="none"/>
                <w:lang w:bidi="ar"/>
              </w:rPr>
              <w:t>机构名称</w:t>
            </w:r>
          </w:p>
        </w:tc>
        <w:tc>
          <w:tcPr>
            <w:tcW w:w="6615" w:type="dxa"/>
            <w:gridSpan w:val="4"/>
            <w:tcBorders>
              <w:top w:val="nil"/>
              <w:left w:val="single" w:color="000000" w:sz="4" w:space="0"/>
              <w:bottom w:val="single" w:color="000000" w:sz="4" w:space="0"/>
              <w:right w:val="single" w:color="000000" w:sz="4" w:space="0"/>
            </w:tcBorders>
            <w:shd w:val="clear" w:color="auto" w:fill="auto"/>
            <w:noWrap/>
            <w:vAlign w:val="center"/>
          </w:tcPr>
          <w:p>
            <w:pPr>
              <w:jc w:val="center"/>
              <w:rPr>
                <w:rFonts w:ascii="仿宋_GB2312" w:hAnsi="宋体" w:eastAsia="仿宋_GB2312" w:cs="仿宋_GB2312"/>
                <w:color w:val="000000"/>
                <w:u w:val="none"/>
              </w:rPr>
            </w:pPr>
          </w:p>
        </w:tc>
      </w:tr>
      <w:tr>
        <w:tblPrEx>
          <w:tblCellMar>
            <w:top w:w="0" w:type="dxa"/>
            <w:left w:w="108" w:type="dxa"/>
            <w:bottom w:w="0" w:type="dxa"/>
            <w:right w:w="108" w:type="dxa"/>
          </w:tblCellMar>
        </w:tblPrEx>
        <w:trPr>
          <w:trHeight w:val="285"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000000"/>
                <w:u w:val="none"/>
              </w:rPr>
            </w:pPr>
          </w:p>
        </w:tc>
        <w:tc>
          <w:tcPr>
            <w:tcW w:w="2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仿宋_GB2312" w:hAnsi="宋体" w:eastAsia="仿宋_GB2312" w:cs="仿宋_GB2312"/>
                <w:color w:val="000000"/>
                <w:u w:val="none"/>
              </w:rPr>
            </w:pPr>
            <w:r>
              <w:rPr>
                <w:rFonts w:hint="eastAsia" w:ascii="仿宋_GB2312" w:hAnsi="宋体" w:eastAsia="仿宋_GB2312" w:cs="仿宋_GB2312"/>
                <w:color w:val="000000"/>
                <w:u w:val="none"/>
                <w:lang w:bidi="ar"/>
              </w:rPr>
              <w:t>社会信用代码</w:t>
            </w:r>
          </w:p>
        </w:tc>
        <w:tc>
          <w:tcPr>
            <w:tcW w:w="661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宋体" w:eastAsia="仿宋_GB2312" w:cs="仿宋_GB2312"/>
                <w:color w:val="000000"/>
                <w:u w:val="none"/>
              </w:rPr>
            </w:pPr>
          </w:p>
        </w:tc>
      </w:tr>
      <w:tr>
        <w:tblPrEx>
          <w:tblCellMar>
            <w:top w:w="0" w:type="dxa"/>
            <w:left w:w="108" w:type="dxa"/>
            <w:bottom w:w="0" w:type="dxa"/>
            <w:right w:w="108" w:type="dxa"/>
          </w:tblCellMar>
        </w:tblPrEx>
        <w:trPr>
          <w:trHeight w:val="285"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000000"/>
                <w:u w:val="none"/>
              </w:rPr>
            </w:pPr>
          </w:p>
        </w:tc>
        <w:tc>
          <w:tcPr>
            <w:tcW w:w="2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仿宋_GB2312" w:hAnsi="宋体" w:eastAsia="仿宋_GB2312" w:cs="仿宋_GB2312"/>
                <w:color w:val="000000"/>
                <w:u w:val="none"/>
              </w:rPr>
            </w:pPr>
            <w:r>
              <w:rPr>
                <w:rFonts w:hint="eastAsia" w:ascii="仿宋_GB2312" w:hAnsi="宋体" w:eastAsia="仿宋_GB2312" w:cs="仿宋_GB2312"/>
                <w:color w:val="000000"/>
                <w:u w:val="none"/>
                <w:lang w:bidi="ar"/>
              </w:rPr>
              <w:t>住所地址</w:t>
            </w:r>
          </w:p>
        </w:tc>
        <w:tc>
          <w:tcPr>
            <w:tcW w:w="31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宋体" w:eastAsia="仿宋_GB2312" w:cs="仿宋_GB2312"/>
                <w:color w:val="000000"/>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ascii="仿宋_GB2312" w:hAnsi="宋体" w:eastAsia="仿宋_GB2312" w:cs="仿宋_GB2312"/>
                <w:color w:val="000000"/>
                <w:u w:val="none"/>
              </w:rPr>
            </w:pPr>
            <w:r>
              <w:rPr>
                <w:rFonts w:hint="eastAsia" w:ascii="仿宋_GB2312" w:hAnsi="宋体" w:eastAsia="仿宋_GB2312" w:cs="仿宋_GB2312"/>
                <w:color w:val="000000"/>
                <w:u w:val="none"/>
                <w:lang w:bidi="ar"/>
              </w:rPr>
              <w:t>法定代表人</w:t>
            </w:r>
          </w:p>
        </w:tc>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宋体" w:eastAsia="仿宋_GB2312" w:cs="仿宋_GB2312"/>
                <w:color w:val="000000"/>
                <w:u w:val="none"/>
              </w:rPr>
            </w:pPr>
          </w:p>
        </w:tc>
      </w:tr>
      <w:tr>
        <w:tblPrEx>
          <w:tblCellMar>
            <w:top w:w="0" w:type="dxa"/>
            <w:left w:w="108" w:type="dxa"/>
            <w:bottom w:w="0" w:type="dxa"/>
            <w:right w:w="108" w:type="dxa"/>
          </w:tblCellMar>
        </w:tblPrEx>
        <w:trPr>
          <w:trHeight w:val="57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000000"/>
                <w:u w:val="none"/>
              </w:rPr>
            </w:pPr>
          </w:p>
        </w:tc>
        <w:tc>
          <w:tcPr>
            <w:tcW w:w="2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仿宋_GB2312" w:hAnsi="宋体" w:eastAsia="仿宋_GB2312" w:cs="仿宋_GB2312"/>
                <w:color w:val="000000"/>
                <w:u w:val="none"/>
              </w:rPr>
            </w:pPr>
            <w:r>
              <w:rPr>
                <w:rFonts w:hint="eastAsia" w:ascii="仿宋_GB2312" w:hAnsi="宋体" w:eastAsia="仿宋_GB2312" w:cs="仿宋_GB2312"/>
                <w:color w:val="000000"/>
                <w:u w:val="none"/>
                <w:lang w:bidi="ar"/>
              </w:rPr>
              <w:t>成立时间</w:t>
            </w:r>
          </w:p>
        </w:tc>
        <w:tc>
          <w:tcPr>
            <w:tcW w:w="31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宋体" w:eastAsia="仿宋_GB2312" w:cs="仿宋_GB2312"/>
                <w:color w:val="000000"/>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ascii="仿宋_GB2312" w:hAnsi="宋体" w:eastAsia="仿宋_GB2312" w:cs="仿宋_GB2312"/>
                <w:color w:val="000000"/>
                <w:u w:val="none"/>
              </w:rPr>
            </w:pPr>
            <w:r>
              <w:rPr>
                <w:rFonts w:hint="eastAsia" w:ascii="仿宋_GB2312" w:hAnsi="宋体" w:eastAsia="仿宋_GB2312" w:cs="仿宋_GB2312"/>
                <w:color w:val="000000"/>
                <w:u w:val="none"/>
                <w:lang w:bidi="ar"/>
              </w:rPr>
              <w:t>注册资本</w:t>
            </w:r>
            <w:r>
              <w:rPr>
                <w:rFonts w:hint="eastAsia" w:ascii="仿宋_GB2312" w:hAnsi="宋体" w:eastAsia="仿宋_GB2312" w:cs="仿宋_GB2312"/>
                <w:color w:val="000000"/>
                <w:u w:val="none"/>
                <w:lang w:bidi="ar"/>
              </w:rPr>
              <w:br w:type="textWrapping"/>
            </w:r>
            <w:r>
              <w:rPr>
                <w:rFonts w:hint="eastAsia" w:ascii="仿宋_GB2312" w:hAnsi="宋体" w:eastAsia="仿宋_GB2312" w:cs="仿宋_GB2312"/>
                <w:color w:val="000000"/>
                <w:u w:val="none"/>
                <w:lang w:bidi="ar"/>
              </w:rPr>
              <w:t>（万元）</w:t>
            </w:r>
          </w:p>
        </w:tc>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宋体" w:eastAsia="仿宋_GB2312" w:cs="仿宋_GB2312"/>
                <w:color w:val="000000"/>
                <w:u w:val="none"/>
              </w:rPr>
            </w:pPr>
          </w:p>
        </w:tc>
      </w:tr>
      <w:tr>
        <w:tblPrEx>
          <w:tblCellMar>
            <w:top w:w="0" w:type="dxa"/>
            <w:left w:w="108" w:type="dxa"/>
            <w:bottom w:w="0" w:type="dxa"/>
            <w:right w:w="108" w:type="dxa"/>
          </w:tblCellMar>
        </w:tblPrEx>
        <w:trPr>
          <w:trHeight w:val="46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000000"/>
                <w:u w:val="none"/>
              </w:rPr>
            </w:pPr>
          </w:p>
        </w:tc>
        <w:tc>
          <w:tcPr>
            <w:tcW w:w="2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仿宋_GB2312" w:hAnsi="宋体" w:eastAsia="仿宋_GB2312" w:cs="仿宋_GB2312"/>
                <w:color w:val="000000"/>
                <w:u w:val="none"/>
              </w:rPr>
            </w:pPr>
            <w:r>
              <w:rPr>
                <w:rFonts w:hint="eastAsia" w:ascii="仿宋_GB2312" w:hAnsi="宋体" w:eastAsia="仿宋_GB2312" w:cs="仿宋_GB2312"/>
                <w:color w:val="000000"/>
                <w:u w:val="none"/>
                <w:lang w:bidi="ar"/>
              </w:rPr>
              <w:t>联系人</w:t>
            </w:r>
          </w:p>
        </w:tc>
        <w:tc>
          <w:tcPr>
            <w:tcW w:w="31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宋体" w:eastAsia="仿宋_GB2312" w:cs="仿宋_GB2312"/>
                <w:color w:val="000000"/>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ascii="仿宋_GB2312" w:hAnsi="宋体" w:eastAsia="仿宋_GB2312" w:cs="仿宋_GB2312"/>
                <w:color w:val="000000"/>
                <w:u w:val="none"/>
              </w:rPr>
            </w:pPr>
            <w:r>
              <w:rPr>
                <w:rFonts w:hint="eastAsia" w:ascii="仿宋_GB2312" w:hAnsi="宋体" w:eastAsia="仿宋_GB2312" w:cs="仿宋_GB2312"/>
                <w:color w:val="000000"/>
                <w:u w:val="none"/>
                <w:lang w:bidi="ar"/>
              </w:rPr>
              <w:t>联系方式</w:t>
            </w:r>
          </w:p>
        </w:tc>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宋体" w:eastAsia="仿宋_GB2312" w:cs="仿宋_GB2312"/>
                <w:color w:val="000000"/>
                <w:u w:val="none"/>
              </w:rPr>
            </w:pPr>
          </w:p>
        </w:tc>
      </w:tr>
      <w:tr>
        <w:tblPrEx>
          <w:tblCellMar>
            <w:top w:w="0" w:type="dxa"/>
            <w:left w:w="108" w:type="dxa"/>
            <w:bottom w:w="0" w:type="dxa"/>
            <w:right w:w="108" w:type="dxa"/>
          </w:tblCellMar>
        </w:tblPrEx>
        <w:trPr>
          <w:trHeight w:val="114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000000"/>
                <w:u w:val="none"/>
              </w:rPr>
            </w:pPr>
          </w:p>
        </w:tc>
        <w:tc>
          <w:tcPr>
            <w:tcW w:w="27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textAlignment w:val="center"/>
              <w:rPr>
                <w:rFonts w:ascii="仿宋_GB2312" w:hAnsi="宋体" w:eastAsia="仿宋_GB2312" w:cs="仿宋_GB2312"/>
                <w:color w:val="000000"/>
                <w:u w:val="none"/>
              </w:rPr>
            </w:pPr>
            <w:r>
              <w:rPr>
                <w:rFonts w:hint="eastAsia" w:ascii="仿宋_GB2312" w:hAnsi="宋体" w:eastAsia="仿宋_GB2312" w:cs="仿宋_GB2312"/>
                <w:color w:val="000000"/>
                <w:u w:val="none"/>
                <w:lang w:bidi="ar"/>
              </w:rPr>
              <w:t>省外公司是否在省内具有分支机构，如有请列明详细信息</w:t>
            </w:r>
          </w:p>
        </w:tc>
        <w:tc>
          <w:tcPr>
            <w:tcW w:w="31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宋体" w:eastAsia="仿宋_GB2312" w:cs="仿宋_GB2312"/>
                <w:color w:val="000000"/>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jc w:val="center"/>
              <w:textAlignment w:val="center"/>
              <w:rPr>
                <w:rFonts w:ascii="仿宋_GB2312" w:hAnsi="宋体" w:eastAsia="仿宋_GB2312" w:cs="仿宋_GB2312"/>
                <w:color w:val="000000"/>
                <w:u w:val="none"/>
              </w:rPr>
            </w:pPr>
            <w:r>
              <w:rPr>
                <w:rFonts w:hint="eastAsia" w:ascii="仿宋_GB2312" w:hAnsi="宋体" w:eastAsia="仿宋_GB2312" w:cs="仿宋_GB2312"/>
                <w:color w:val="000000"/>
                <w:u w:val="none"/>
                <w:lang w:bidi="ar"/>
              </w:rPr>
              <w:t>执业评估师数量</w:t>
            </w:r>
          </w:p>
        </w:tc>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宋体" w:eastAsia="仿宋_GB2312" w:cs="仿宋_GB2312"/>
                <w:color w:val="000000"/>
                <w:u w:val="none"/>
              </w:rPr>
            </w:pPr>
          </w:p>
        </w:tc>
      </w:tr>
      <w:tr>
        <w:tblPrEx>
          <w:tblCellMar>
            <w:top w:w="0" w:type="dxa"/>
            <w:left w:w="108" w:type="dxa"/>
            <w:bottom w:w="0" w:type="dxa"/>
            <w:right w:w="108" w:type="dxa"/>
          </w:tblCellMar>
        </w:tblPrEx>
        <w:trPr>
          <w:trHeight w:val="285" w:hRule="atLeast"/>
          <w:jc w:val="center"/>
        </w:trPr>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textAlignment w:val="center"/>
              <w:rPr>
                <w:rFonts w:ascii="仿宋_GB2312" w:hAnsi="宋体" w:eastAsia="仿宋_GB2312" w:cs="仿宋_GB2312"/>
                <w:color w:val="000000"/>
                <w:u w:val="none"/>
                <w:lang w:bidi="ar"/>
              </w:rPr>
            </w:pPr>
            <w:r>
              <w:rPr>
                <w:rFonts w:hint="eastAsia" w:ascii="仿宋_GB2312" w:hAnsi="宋体" w:eastAsia="仿宋_GB2312" w:cs="仿宋_GB2312"/>
                <w:color w:val="000000"/>
                <w:u w:val="none"/>
                <w:lang w:bidi="ar"/>
              </w:rPr>
              <w:t>资质</w:t>
            </w:r>
          </w:p>
          <w:p>
            <w:pPr>
              <w:widowControl/>
              <w:ind w:firstLine="0"/>
              <w:textAlignment w:val="center"/>
              <w:rPr>
                <w:rFonts w:ascii="仿宋_GB2312" w:hAnsi="宋体" w:eastAsia="仿宋_GB2312" w:cs="仿宋_GB2312"/>
                <w:color w:val="000000"/>
                <w:u w:val="none"/>
              </w:rPr>
            </w:pPr>
            <w:r>
              <w:rPr>
                <w:rFonts w:hint="eastAsia" w:ascii="仿宋_GB2312" w:hAnsi="宋体" w:eastAsia="仿宋_GB2312" w:cs="仿宋_GB2312"/>
                <w:color w:val="000000"/>
                <w:u w:val="none"/>
                <w:lang w:bidi="ar"/>
              </w:rPr>
              <w:t>资格</w:t>
            </w:r>
          </w:p>
        </w:tc>
        <w:tc>
          <w:tcPr>
            <w:tcW w:w="4108"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000000"/>
                <w:u w:val="none"/>
              </w:rPr>
            </w:pPr>
            <w:r>
              <w:rPr>
                <w:rFonts w:hint="eastAsia" w:ascii="仿宋_GB2312" w:hAnsi="宋体" w:eastAsia="仿宋_GB2312" w:cs="仿宋_GB2312"/>
                <w:color w:val="000000"/>
                <w:u w:val="none"/>
                <w:lang w:bidi="ar"/>
              </w:rPr>
              <w:t>资质资格名称</w:t>
            </w: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jc w:val="center"/>
              <w:textAlignment w:val="center"/>
              <w:rPr>
                <w:rFonts w:ascii="仿宋_GB2312" w:hAnsi="宋体" w:eastAsia="仿宋_GB2312" w:cs="仿宋_GB2312"/>
                <w:color w:val="000000"/>
                <w:u w:val="none"/>
              </w:rPr>
            </w:pPr>
            <w:r>
              <w:rPr>
                <w:rFonts w:hint="eastAsia" w:ascii="仿宋_GB2312" w:hAnsi="宋体" w:eastAsia="仿宋_GB2312" w:cs="仿宋_GB2312"/>
                <w:color w:val="000000"/>
                <w:u w:val="none"/>
                <w:lang w:bidi="ar"/>
              </w:rPr>
              <w:t>批准部门</w:t>
            </w:r>
          </w:p>
        </w:tc>
        <w:tc>
          <w:tcPr>
            <w:tcW w:w="34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宋体" w:eastAsia="仿宋_GB2312" w:cs="仿宋_GB2312"/>
                <w:color w:val="000000"/>
                <w:u w:val="none"/>
              </w:rPr>
            </w:pPr>
            <w:r>
              <w:rPr>
                <w:rFonts w:hint="eastAsia" w:ascii="仿宋_GB2312" w:hAnsi="宋体" w:eastAsia="仿宋_GB2312" w:cs="仿宋_GB2312"/>
                <w:color w:val="000000"/>
                <w:u w:val="none"/>
                <w:lang w:bidi="ar"/>
              </w:rPr>
              <w:t>相关文号或资质证书编号</w:t>
            </w:r>
          </w:p>
        </w:tc>
      </w:tr>
      <w:tr>
        <w:tblPrEx>
          <w:tblCellMar>
            <w:top w:w="0" w:type="dxa"/>
            <w:left w:w="108" w:type="dxa"/>
            <w:bottom w:w="0" w:type="dxa"/>
            <w:right w:w="108" w:type="dxa"/>
          </w:tblCellMar>
        </w:tblPrEx>
        <w:trPr>
          <w:trHeight w:val="285"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000000"/>
                <w:u w:val="none"/>
              </w:rPr>
            </w:pPr>
          </w:p>
        </w:tc>
        <w:tc>
          <w:tcPr>
            <w:tcW w:w="41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000000"/>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宋体" w:eastAsia="仿宋_GB2312" w:cs="仿宋_GB2312"/>
                <w:color w:val="000000"/>
                <w:u w:val="none"/>
              </w:rPr>
            </w:pPr>
          </w:p>
        </w:tc>
        <w:tc>
          <w:tcPr>
            <w:tcW w:w="34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宋体" w:eastAsia="仿宋_GB2312" w:cs="仿宋_GB2312"/>
                <w:color w:val="000000"/>
                <w:u w:val="none"/>
              </w:rPr>
            </w:pPr>
          </w:p>
        </w:tc>
      </w:tr>
      <w:tr>
        <w:tblPrEx>
          <w:tblCellMar>
            <w:top w:w="0" w:type="dxa"/>
            <w:left w:w="108" w:type="dxa"/>
            <w:bottom w:w="0" w:type="dxa"/>
            <w:right w:w="108" w:type="dxa"/>
          </w:tblCellMar>
        </w:tblPrEx>
        <w:trPr>
          <w:trHeight w:val="285"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000000"/>
                <w:u w:val="none"/>
              </w:rPr>
            </w:pPr>
          </w:p>
        </w:tc>
        <w:tc>
          <w:tcPr>
            <w:tcW w:w="41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000000"/>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宋体" w:eastAsia="仿宋_GB2312" w:cs="仿宋_GB2312"/>
                <w:color w:val="000000"/>
                <w:u w:val="none"/>
              </w:rPr>
            </w:pPr>
          </w:p>
        </w:tc>
        <w:tc>
          <w:tcPr>
            <w:tcW w:w="34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宋体" w:eastAsia="仿宋_GB2312" w:cs="仿宋_GB2312"/>
                <w:color w:val="000000"/>
                <w:u w:val="none"/>
              </w:rPr>
            </w:pPr>
          </w:p>
        </w:tc>
      </w:tr>
      <w:tr>
        <w:tblPrEx>
          <w:tblCellMar>
            <w:top w:w="0" w:type="dxa"/>
            <w:left w:w="108" w:type="dxa"/>
            <w:bottom w:w="0" w:type="dxa"/>
            <w:right w:w="108" w:type="dxa"/>
          </w:tblCellMar>
        </w:tblPrEx>
        <w:trPr>
          <w:trHeight w:val="520" w:hRule="atLeast"/>
          <w:jc w:val="center"/>
        </w:trPr>
        <w:tc>
          <w:tcPr>
            <w:tcW w:w="350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textAlignment w:val="center"/>
              <w:rPr>
                <w:rFonts w:ascii="仿宋_GB2312" w:hAnsi="宋体" w:eastAsia="仿宋_GB2312" w:cs="仿宋_GB2312"/>
                <w:color w:val="000000"/>
                <w:u w:val="none"/>
              </w:rPr>
            </w:pPr>
            <w:r>
              <w:rPr>
                <w:rFonts w:hint="eastAsia" w:ascii="仿宋_GB2312" w:hAnsi="宋体" w:eastAsia="仿宋_GB2312" w:cs="仿宋_GB2312"/>
                <w:color w:val="000000"/>
                <w:u w:val="none"/>
                <w:lang w:bidi="ar"/>
              </w:rPr>
              <w:t>是否入围省国资运营公司或者其他省属企业资产评估机构备选库，如有，请列示详细信息</w:t>
            </w:r>
          </w:p>
        </w:tc>
        <w:tc>
          <w:tcPr>
            <w:tcW w:w="7098" w:type="dxa"/>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000000"/>
                <w:u w:val="none"/>
              </w:rPr>
            </w:pPr>
          </w:p>
        </w:tc>
      </w:tr>
      <w:tr>
        <w:tblPrEx>
          <w:tblCellMar>
            <w:top w:w="0" w:type="dxa"/>
            <w:left w:w="108" w:type="dxa"/>
            <w:bottom w:w="0" w:type="dxa"/>
            <w:right w:w="108" w:type="dxa"/>
          </w:tblCellMar>
        </w:tblPrEx>
        <w:trPr>
          <w:trHeight w:val="467" w:hRule="atLeast"/>
          <w:jc w:val="center"/>
        </w:trPr>
        <w:tc>
          <w:tcPr>
            <w:tcW w:w="350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000000"/>
                <w:u w:val="none"/>
              </w:rPr>
            </w:pPr>
          </w:p>
        </w:tc>
        <w:tc>
          <w:tcPr>
            <w:tcW w:w="7098"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000000"/>
                <w:u w:val="none"/>
              </w:rPr>
            </w:pPr>
          </w:p>
        </w:tc>
      </w:tr>
      <w:tr>
        <w:tblPrEx>
          <w:tblCellMar>
            <w:top w:w="0" w:type="dxa"/>
            <w:left w:w="108" w:type="dxa"/>
            <w:bottom w:w="0" w:type="dxa"/>
            <w:right w:w="108" w:type="dxa"/>
          </w:tblCellMar>
        </w:tblPrEx>
        <w:trPr>
          <w:trHeight w:val="680" w:hRule="atLeast"/>
          <w:jc w:val="center"/>
        </w:trPr>
        <w:tc>
          <w:tcPr>
            <w:tcW w:w="350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000000"/>
                <w:u w:val="none"/>
              </w:rPr>
            </w:pPr>
          </w:p>
        </w:tc>
        <w:tc>
          <w:tcPr>
            <w:tcW w:w="7098"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000000"/>
                <w:u w:val="none"/>
              </w:rPr>
            </w:pPr>
          </w:p>
        </w:tc>
      </w:tr>
      <w:tr>
        <w:tblPrEx>
          <w:tblCellMar>
            <w:top w:w="0" w:type="dxa"/>
            <w:left w:w="108" w:type="dxa"/>
            <w:bottom w:w="0" w:type="dxa"/>
            <w:right w:w="108" w:type="dxa"/>
          </w:tblCellMar>
        </w:tblPrEx>
        <w:trPr>
          <w:trHeight w:val="467" w:hRule="atLeast"/>
          <w:jc w:val="center"/>
        </w:trPr>
        <w:tc>
          <w:tcPr>
            <w:tcW w:w="350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textAlignment w:val="center"/>
              <w:rPr>
                <w:rFonts w:ascii="仿宋_GB2312" w:hAnsi="宋体" w:eastAsia="仿宋_GB2312" w:cs="仿宋_GB2312"/>
                <w:color w:val="000000"/>
                <w:u w:val="none"/>
              </w:rPr>
            </w:pPr>
            <w:r>
              <w:rPr>
                <w:rFonts w:hint="eastAsia" w:ascii="仿宋_GB2312" w:hAnsi="宋体" w:eastAsia="仿宋_GB2312" w:cs="仿宋_GB2312"/>
                <w:color w:val="000000"/>
                <w:u w:val="none"/>
                <w:lang w:bidi="ar"/>
              </w:rPr>
              <w:t>近三年业绩情况（每年资产评估项目完成数量，具体项目名称等信息）</w:t>
            </w:r>
          </w:p>
        </w:tc>
        <w:tc>
          <w:tcPr>
            <w:tcW w:w="6615" w:type="dxa"/>
            <w:gridSpan w:val="4"/>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宋体" w:eastAsia="仿宋_GB2312" w:cs="仿宋_GB2312"/>
                <w:color w:val="000000"/>
                <w:u w:val="none"/>
              </w:rPr>
            </w:pPr>
          </w:p>
        </w:tc>
      </w:tr>
      <w:tr>
        <w:tblPrEx>
          <w:tblCellMar>
            <w:top w:w="0" w:type="dxa"/>
            <w:left w:w="108" w:type="dxa"/>
            <w:bottom w:w="0" w:type="dxa"/>
            <w:right w:w="108" w:type="dxa"/>
          </w:tblCellMar>
        </w:tblPrEx>
        <w:trPr>
          <w:trHeight w:val="467" w:hRule="atLeast"/>
          <w:jc w:val="center"/>
        </w:trPr>
        <w:tc>
          <w:tcPr>
            <w:tcW w:w="350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000000"/>
                <w:u w:val="none"/>
              </w:rPr>
            </w:pPr>
          </w:p>
        </w:tc>
        <w:tc>
          <w:tcPr>
            <w:tcW w:w="6615"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宋体" w:eastAsia="仿宋_GB2312" w:cs="仿宋_GB2312"/>
                <w:color w:val="000000"/>
                <w:u w:val="none"/>
              </w:rPr>
            </w:pPr>
          </w:p>
        </w:tc>
      </w:tr>
      <w:tr>
        <w:tblPrEx>
          <w:tblCellMar>
            <w:top w:w="0" w:type="dxa"/>
            <w:left w:w="108" w:type="dxa"/>
            <w:bottom w:w="0" w:type="dxa"/>
            <w:right w:w="108" w:type="dxa"/>
          </w:tblCellMar>
        </w:tblPrEx>
        <w:trPr>
          <w:trHeight w:val="740" w:hRule="atLeast"/>
          <w:jc w:val="center"/>
        </w:trPr>
        <w:tc>
          <w:tcPr>
            <w:tcW w:w="350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000000"/>
                <w:u w:val="none"/>
              </w:rPr>
            </w:pPr>
          </w:p>
        </w:tc>
        <w:tc>
          <w:tcPr>
            <w:tcW w:w="6615"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宋体" w:eastAsia="仿宋_GB2312" w:cs="仿宋_GB2312"/>
                <w:color w:val="000000"/>
                <w:u w:val="none"/>
              </w:rPr>
            </w:pPr>
          </w:p>
        </w:tc>
      </w:tr>
      <w:tr>
        <w:tblPrEx>
          <w:tblCellMar>
            <w:top w:w="0" w:type="dxa"/>
            <w:left w:w="108" w:type="dxa"/>
            <w:bottom w:w="0" w:type="dxa"/>
            <w:right w:w="108" w:type="dxa"/>
          </w:tblCellMar>
        </w:tblPrEx>
        <w:trPr>
          <w:trHeight w:val="467" w:hRule="atLeast"/>
          <w:jc w:val="center"/>
        </w:trPr>
        <w:tc>
          <w:tcPr>
            <w:tcW w:w="350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textAlignment w:val="center"/>
              <w:rPr>
                <w:rFonts w:ascii="仿宋_GB2312" w:hAnsi="宋体" w:eastAsia="仿宋_GB2312" w:cs="仿宋_GB2312"/>
                <w:color w:val="000000"/>
                <w:u w:val="none"/>
              </w:rPr>
            </w:pPr>
            <w:r>
              <w:rPr>
                <w:rFonts w:hint="eastAsia" w:ascii="仿宋_GB2312" w:hAnsi="宋体" w:eastAsia="仿宋_GB2312" w:cs="仿宋_GB2312"/>
                <w:color w:val="000000"/>
                <w:u w:val="none"/>
                <w:lang w:bidi="ar"/>
              </w:rPr>
              <w:t>近三年省属企业资产评估业务承揽情况</w:t>
            </w:r>
          </w:p>
        </w:tc>
        <w:tc>
          <w:tcPr>
            <w:tcW w:w="6615" w:type="dxa"/>
            <w:gridSpan w:val="4"/>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宋体" w:eastAsia="仿宋_GB2312" w:cs="仿宋_GB2312"/>
                <w:color w:val="000000"/>
                <w:u w:val="none"/>
              </w:rPr>
            </w:pPr>
          </w:p>
        </w:tc>
      </w:tr>
      <w:tr>
        <w:tblPrEx>
          <w:tblCellMar>
            <w:top w:w="0" w:type="dxa"/>
            <w:left w:w="108" w:type="dxa"/>
            <w:bottom w:w="0" w:type="dxa"/>
            <w:right w:w="108" w:type="dxa"/>
          </w:tblCellMar>
        </w:tblPrEx>
        <w:trPr>
          <w:trHeight w:val="467" w:hRule="atLeast"/>
          <w:jc w:val="center"/>
        </w:trPr>
        <w:tc>
          <w:tcPr>
            <w:tcW w:w="350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000000"/>
                <w:u w:val="none"/>
              </w:rPr>
            </w:pPr>
          </w:p>
        </w:tc>
        <w:tc>
          <w:tcPr>
            <w:tcW w:w="6615"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宋体" w:eastAsia="仿宋_GB2312" w:cs="仿宋_GB2312"/>
                <w:color w:val="000000"/>
                <w:u w:val="none"/>
              </w:rPr>
            </w:pPr>
          </w:p>
        </w:tc>
      </w:tr>
      <w:tr>
        <w:tblPrEx>
          <w:tblCellMar>
            <w:top w:w="0" w:type="dxa"/>
            <w:left w:w="108" w:type="dxa"/>
            <w:bottom w:w="0" w:type="dxa"/>
            <w:right w:w="108" w:type="dxa"/>
          </w:tblCellMar>
        </w:tblPrEx>
        <w:trPr>
          <w:trHeight w:val="467" w:hRule="atLeast"/>
          <w:jc w:val="center"/>
        </w:trPr>
        <w:tc>
          <w:tcPr>
            <w:tcW w:w="350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000000"/>
                <w:u w:val="none"/>
              </w:rPr>
            </w:pPr>
          </w:p>
        </w:tc>
        <w:tc>
          <w:tcPr>
            <w:tcW w:w="6615"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宋体" w:eastAsia="仿宋_GB2312" w:cs="仿宋_GB2312"/>
                <w:color w:val="000000"/>
                <w:u w:val="none"/>
              </w:rPr>
            </w:pPr>
          </w:p>
        </w:tc>
      </w:tr>
      <w:tr>
        <w:tblPrEx>
          <w:tblCellMar>
            <w:top w:w="0" w:type="dxa"/>
            <w:left w:w="108" w:type="dxa"/>
            <w:bottom w:w="0" w:type="dxa"/>
            <w:right w:w="108" w:type="dxa"/>
          </w:tblCellMar>
        </w:tblPrEx>
        <w:trPr>
          <w:trHeight w:val="467" w:hRule="atLeast"/>
          <w:jc w:val="center"/>
        </w:trPr>
        <w:tc>
          <w:tcPr>
            <w:tcW w:w="350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000000"/>
                <w:u w:val="none"/>
              </w:rPr>
            </w:pPr>
          </w:p>
        </w:tc>
        <w:tc>
          <w:tcPr>
            <w:tcW w:w="6615"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宋体" w:eastAsia="仿宋_GB2312" w:cs="仿宋_GB2312"/>
                <w:color w:val="000000"/>
                <w:u w:val="none"/>
              </w:rPr>
            </w:pPr>
          </w:p>
        </w:tc>
      </w:tr>
      <w:tr>
        <w:tblPrEx>
          <w:tblCellMar>
            <w:top w:w="0" w:type="dxa"/>
            <w:left w:w="108" w:type="dxa"/>
            <w:bottom w:w="0" w:type="dxa"/>
            <w:right w:w="108" w:type="dxa"/>
          </w:tblCellMar>
        </w:tblPrEx>
        <w:trPr>
          <w:trHeight w:val="467" w:hRule="atLeast"/>
          <w:jc w:val="center"/>
        </w:trPr>
        <w:tc>
          <w:tcPr>
            <w:tcW w:w="350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000000"/>
                <w:u w:val="none"/>
              </w:rPr>
            </w:pPr>
          </w:p>
        </w:tc>
        <w:tc>
          <w:tcPr>
            <w:tcW w:w="6615"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宋体" w:eastAsia="仿宋_GB2312" w:cs="仿宋_GB2312"/>
                <w:color w:val="000000"/>
                <w:u w:val="none"/>
              </w:rPr>
            </w:pPr>
          </w:p>
        </w:tc>
      </w:tr>
      <w:tr>
        <w:tblPrEx>
          <w:tblCellMar>
            <w:top w:w="0" w:type="dxa"/>
            <w:left w:w="108" w:type="dxa"/>
            <w:bottom w:w="0" w:type="dxa"/>
            <w:right w:w="108" w:type="dxa"/>
          </w:tblCellMar>
        </w:tblPrEx>
        <w:trPr>
          <w:trHeight w:val="1060" w:hRule="atLeast"/>
          <w:jc w:val="center"/>
        </w:trPr>
        <w:tc>
          <w:tcPr>
            <w:tcW w:w="35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textAlignment w:val="center"/>
              <w:rPr>
                <w:rFonts w:ascii="仿宋_GB2312" w:hAnsi="宋体" w:eastAsia="仿宋_GB2312" w:cs="仿宋_GB2312"/>
                <w:color w:val="000000"/>
                <w:u w:val="none"/>
              </w:rPr>
            </w:pPr>
            <w:r>
              <w:rPr>
                <w:rFonts w:hint="eastAsia" w:ascii="仿宋_GB2312" w:hAnsi="宋体" w:eastAsia="仿宋_GB2312" w:cs="仿宋_GB2312"/>
                <w:color w:val="000000"/>
                <w:u w:val="none"/>
                <w:lang w:bidi="ar"/>
              </w:rPr>
              <w:t>评估机构及所属评估师获得的荣誉情况</w:t>
            </w:r>
          </w:p>
        </w:tc>
        <w:tc>
          <w:tcPr>
            <w:tcW w:w="661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宋体" w:eastAsia="仿宋_GB2312" w:cs="仿宋_GB2312"/>
                <w:color w:val="000000"/>
                <w:u w:val="none"/>
              </w:rPr>
            </w:pPr>
          </w:p>
        </w:tc>
      </w:tr>
      <w:tr>
        <w:tblPrEx>
          <w:tblCellMar>
            <w:top w:w="0" w:type="dxa"/>
            <w:left w:w="108" w:type="dxa"/>
            <w:bottom w:w="0" w:type="dxa"/>
            <w:right w:w="108" w:type="dxa"/>
          </w:tblCellMar>
        </w:tblPrEx>
        <w:trPr>
          <w:trHeight w:val="1140" w:hRule="atLeast"/>
          <w:jc w:val="center"/>
        </w:trPr>
        <w:tc>
          <w:tcPr>
            <w:tcW w:w="35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textAlignment w:val="center"/>
              <w:rPr>
                <w:rFonts w:ascii="仿宋_GB2312" w:hAnsi="宋体" w:eastAsia="仿宋_GB2312" w:cs="仿宋_GB2312"/>
                <w:color w:val="000000"/>
                <w:u w:val="none"/>
              </w:rPr>
            </w:pPr>
            <w:r>
              <w:rPr>
                <w:rFonts w:hint="eastAsia" w:ascii="仿宋_GB2312" w:hAnsi="宋体" w:eastAsia="仿宋_GB2312" w:cs="仿宋_GB2312"/>
                <w:color w:val="000000"/>
                <w:u w:val="none"/>
                <w:lang w:bidi="ar"/>
              </w:rPr>
              <w:t>近三年执业过程中因何种原因受过何种警示、处罚情况</w:t>
            </w:r>
          </w:p>
        </w:tc>
        <w:tc>
          <w:tcPr>
            <w:tcW w:w="661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宋体" w:eastAsia="仿宋_GB2312" w:cs="仿宋_GB2312"/>
                <w:color w:val="000000"/>
                <w:u w:val="none"/>
              </w:rPr>
            </w:pPr>
          </w:p>
        </w:tc>
      </w:tr>
      <w:tr>
        <w:tblPrEx>
          <w:tblCellMar>
            <w:top w:w="0" w:type="dxa"/>
            <w:left w:w="108" w:type="dxa"/>
            <w:bottom w:w="0" w:type="dxa"/>
            <w:right w:w="108" w:type="dxa"/>
          </w:tblCellMar>
        </w:tblPrEx>
        <w:trPr>
          <w:trHeight w:val="740" w:hRule="atLeast"/>
          <w:jc w:val="center"/>
        </w:trPr>
        <w:tc>
          <w:tcPr>
            <w:tcW w:w="350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textAlignment w:val="center"/>
              <w:rPr>
                <w:rFonts w:ascii="仿宋_GB2312" w:hAnsi="宋体" w:eastAsia="仿宋_GB2312" w:cs="仿宋_GB2312"/>
                <w:color w:val="000000"/>
                <w:u w:val="none"/>
              </w:rPr>
            </w:pPr>
            <w:r>
              <w:rPr>
                <w:rFonts w:hint="eastAsia" w:ascii="仿宋_GB2312" w:hAnsi="宋体" w:eastAsia="仿宋_GB2312" w:cs="仿宋_GB2312"/>
                <w:color w:val="000000"/>
                <w:u w:val="none"/>
                <w:lang w:bidi="ar"/>
              </w:rPr>
              <w:t>拟推荐资资产评审专家库人员信息（1-3名即可）</w:t>
            </w: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jc w:val="center"/>
              <w:textAlignment w:val="center"/>
              <w:rPr>
                <w:rFonts w:ascii="仿宋_GB2312" w:hAnsi="宋体" w:eastAsia="仿宋_GB2312" w:cs="仿宋_GB2312"/>
                <w:color w:val="000000"/>
                <w:u w:val="none"/>
              </w:rPr>
            </w:pPr>
            <w:r>
              <w:rPr>
                <w:rFonts w:hint="eastAsia" w:ascii="仿宋_GB2312" w:hAnsi="宋体" w:eastAsia="仿宋_GB2312" w:cs="仿宋_GB2312"/>
                <w:color w:val="000000"/>
                <w:u w:val="none"/>
                <w:lang w:bidi="ar"/>
              </w:rPr>
              <w:t>姓名</w:t>
            </w: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jc w:val="center"/>
              <w:textAlignment w:val="center"/>
              <w:rPr>
                <w:rFonts w:ascii="仿宋_GB2312" w:hAnsi="宋体" w:eastAsia="仿宋_GB2312" w:cs="仿宋_GB2312"/>
                <w:color w:val="000000"/>
                <w:u w:val="none"/>
              </w:rPr>
            </w:pPr>
            <w:r>
              <w:rPr>
                <w:rFonts w:hint="eastAsia" w:ascii="仿宋_GB2312" w:hAnsi="宋体" w:eastAsia="仿宋_GB2312" w:cs="仿宋_GB2312"/>
                <w:color w:val="000000"/>
                <w:u w:val="none"/>
                <w:lang w:bidi="ar"/>
              </w:rPr>
              <w:t>身份证号</w:t>
            </w: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jc w:val="center"/>
              <w:textAlignment w:val="center"/>
              <w:rPr>
                <w:rFonts w:ascii="仿宋_GB2312" w:hAnsi="宋体" w:eastAsia="仿宋_GB2312" w:cs="仿宋_GB2312"/>
                <w:color w:val="000000"/>
                <w:u w:val="none"/>
              </w:rPr>
            </w:pPr>
            <w:r>
              <w:rPr>
                <w:rFonts w:hint="eastAsia" w:ascii="仿宋_GB2312" w:hAnsi="宋体" w:eastAsia="仿宋_GB2312" w:cs="仿宋_GB2312"/>
                <w:color w:val="000000"/>
                <w:u w:val="none"/>
                <w:lang w:bidi="ar"/>
              </w:rPr>
              <w:t>联系方式</w:t>
            </w:r>
          </w:p>
        </w:tc>
        <w:tc>
          <w:tcPr>
            <w:tcW w:w="19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textAlignment w:val="center"/>
              <w:rPr>
                <w:rFonts w:ascii="仿宋_GB2312" w:hAnsi="宋体" w:eastAsia="仿宋_GB2312" w:cs="仿宋_GB2312"/>
                <w:color w:val="000000"/>
                <w:u w:val="none"/>
              </w:rPr>
            </w:pPr>
            <w:r>
              <w:rPr>
                <w:rFonts w:hint="eastAsia" w:ascii="仿宋_GB2312" w:hAnsi="宋体" w:eastAsia="仿宋_GB2312" w:cs="仿宋_GB2312"/>
                <w:color w:val="000000"/>
                <w:u w:val="none"/>
                <w:lang w:bidi="ar"/>
              </w:rPr>
              <w:t>是否为省国资运营公司或省属企业评审专家</w:t>
            </w:r>
          </w:p>
        </w:tc>
      </w:tr>
      <w:tr>
        <w:tblPrEx>
          <w:tblCellMar>
            <w:top w:w="0" w:type="dxa"/>
            <w:left w:w="108" w:type="dxa"/>
            <w:bottom w:w="0" w:type="dxa"/>
            <w:right w:w="108" w:type="dxa"/>
          </w:tblCellMar>
        </w:tblPrEx>
        <w:trPr>
          <w:trHeight w:val="285" w:hRule="atLeast"/>
          <w:jc w:val="center"/>
        </w:trPr>
        <w:tc>
          <w:tcPr>
            <w:tcW w:w="350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000000"/>
                <w:u w:val="none"/>
              </w:rPr>
            </w:pP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宋体" w:eastAsia="仿宋_GB2312" w:cs="仿宋_GB2312"/>
                <w:color w:val="000000"/>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宋体" w:eastAsia="仿宋_GB2312" w:cs="仿宋_GB2312"/>
                <w:color w:val="000000"/>
                <w:u w:val="none"/>
              </w:rPr>
            </w:pP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宋体" w:eastAsia="仿宋_GB2312" w:cs="仿宋_GB2312"/>
                <w:color w:val="000000"/>
                <w:u w:val="none"/>
              </w:rPr>
            </w:pPr>
          </w:p>
        </w:tc>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宋体" w:eastAsia="仿宋_GB2312" w:cs="仿宋_GB2312"/>
                <w:color w:val="000000"/>
                <w:u w:val="none"/>
              </w:rPr>
            </w:pPr>
          </w:p>
        </w:tc>
      </w:tr>
      <w:tr>
        <w:tblPrEx>
          <w:tblCellMar>
            <w:top w:w="0" w:type="dxa"/>
            <w:left w:w="108" w:type="dxa"/>
            <w:bottom w:w="0" w:type="dxa"/>
            <w:right w:w="108" w:type="dxa"/>
          </w:tblCellMar>
        </w:tblPrEx>
        <w:trPr>
          <w:trHeight w:val="285" w:hRule="atLeast"/>
          <w:jc w:val="center"/>
        </w:trPr>
        <w:tc>
          <w:tcPr>
            <w:tcW w:w="350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000000"/>
                <w:u w:val="none"/>
              </w:rPr>
            </w:pP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宋体" w:eastAsia="仿宋_GB2312" w:cs="仿宋_GB2312"/>
                <w:color w:val="000000"/>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宋体" w:eastAsia="仿宋_GB2312" w:cs="仿宋_GB2312"/>
                <w:color w:val="000000"/>
                <w:u w:val="none"/>
              </w:rPr>
            </w:pP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宋体" w:eastAsia="仿宋_GB2312" w:cs="仿宋_GB2312"/>
                <w:color w:val="000000"/>
                <w:u w:val="none"/>
              </w:rPr>
            </w:pPr>
          </w:p>
        </w:tc>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宋体" w:eastAsia="仿宋_GB2312" w:cs="仿宋_GB2312"/>
                <w:color w:val="000000"/>
                <w:u w:val="none"/>
              </w:rPr>
            </w:pPr>
          </w:p>
        </w:tc>
      </w:tr>
      <w:tr>
        <w:tblPrEx>
          <w:tblCellMar>
            <w:top w:w="0" w:type="dxa"/>
            <w:left w:w="108" w:type="dxa"/>
            <w:bottom w:w="0" w:type="dxa"/>
            <w:right w:w="108" w:type="dxa"/>
          </w:tblCellMar>
        </w:tblPrEx>
        <w:trPr>
          <w:trHeight w:val="285" w:hRule="atLeast"/>
          <w:jc w:val="center"/>
        </w:trPr>
        <w:tc>
          <w:tcPr>
            <w:tcW w:w="350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000000"/>
                <w:u w:val="none"/>
              </w:rPr>
            </w:pP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宋体" w:eastAsia="仿宋_GB2312" w:cs="仿宋_GB2312"/>
                <w:color w:val="000000"/>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宋体" w:eastAsia="仿宋_GB2312" w:cs="仿宋_GB2312"/>
                <w:color w:val="000000"/>
                <w:u w:val="none"/>
              </w:rPr>
            </w:pP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宋体" w:eastAsia="仿宋_GB2312" w:cs="仿宋_GB2312"/>
                <w:color w:val="000000"/>
                <w:u w:val="none"/>
              </w:rPr>
            </w:pPr>
          </w:p>
        </w:tc>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宋体" w:eastAsia="仿宋_GB2312" w:cs="仿宋_GB2312"/>
                <w:color w:val="000000"/>
                <w:u w:val="none"/>
              </w:rPr>
            </w:pPr>
          </w:p>
        </w:tc>
      </w:tr>
      <w:tr>
        <w:tblPrEx>
          <w:tblCellMar>
            <w:top w:w="0" w:type="dxa"/>
            <w:left w:w="108" w:type="dxa"/>
            <w:bottom w:w="0" w:type="dxa"/>
            <w:right w:w="108" w:type="dxa"/>
          </w:tblCellMar>
        </w:tblPrEx>
        <w:trPr>
          <w:trHeight w:val="285" w:hRule="atLeast"/>
          <w:jc w:val="center"/>
        </w:trPr>
        <w:tc>
          <w:tcPr>
            <w:tcW w:w="350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000000"/>
                <w:u w:val="none"/>
              </w:rPr>
            </w:pP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宋体" w:eastAsia="仿宋_GB2312" w:cs="仿宋_GB2312"/>
                <w:color w:val="000000"/>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宋体" w:eastAsia="仿宋_GB2312" w:cs="仿宋_GB2312"/>
                <w:color w:val="000000"/>
                <w:u w:val="none"/>
              </w:rPr>
            </w:pP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宋体" w:eastAsia="仿宋_GB2312" w:cs="仿宋_GB2312"/>
                <w:color w:val="000000"/>
                <w:u w:val="none"/>
              </w:rPr>
            </w:pPr>
          </w:p>
        </w:tc>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宋体" w:eastAsia="仿宋_GB2312" w:cs="仿宋_GB2312"/>
                <w:color w:val="000000"/>
                <w:u w:val="none"/>
              </w:rPr>
            </w:pPr>
          </w:p>
        </w:tc>
      </w:tr>
      <w:tr>
        <w:tblPrEx>
          <w:tblCellMar>
            <w:top w:w="0" w:type="dxa"/>
            <w:left w:w="108" w:type="dxa"/>
            <w:bottom w:w="0" w:type="dxa"/>
            <w:right w:w="108" w:type="dxa"/>
          </w:tblCellMar>
        </w:tblPrEx>
        <w:trPr>
          <w:trHeight w:val="285" w:hRule="atLeast"/>
          <w:jc w:val="center"/>
        </w:trPr>
        <w:tc>
          <w:tcPr>
            <w:tcW w:w="350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color w:val="000000"/>
                <w:u w:val="none"/>
              </w:rPr>
            </w:pPr>
          </w:p>
        </w:tc>
        <w:tc>
          <w:tcPr>
            <w:tcW w:w="1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宋体" w:eastAsia="仿宋_GB2312" w:cs="仿宋_GB2312"/>
                <w:color w:val="000000"/>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宋体" w:eastAsia="仿宋_GB2312" w:cs="仿宋_GB2312"/>
                <w:color w:val="000000"/>
                <w:u w:val="none"/>
              </w:rPr>
            </w:pPr>
          </w:p>
        </w:tc>
        <w:tc>
          <w:tcPr>
            <w:tcW w:w="1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宋体" w:eastAsia="仿宋_GB2312" w:cs="仿宋_GB2312"/>
                <w:color w:val="000000"/>
                <w:u w:val="none"/>
              </w:rPr>
            </w:pPr>
          </w:p>
        </w:tc>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_GB2312" w:hAnsi="宋体" w:eastAsia="仿宋_GB2312" w:cs="仿宋_GB2312"/>
                <w:color w:val="000000"/>
                <w:u w:val="none"/>
              </w:rPr>
            </w:pPr>
          </w:p>
        </w:tc>
      </w:tr>
      <w:tr>
        <w:tblPrEx>
          <w:tblCellMar>
            <w:top w:w="0" w:type="dxa"/>
            <w:left w:w="108" w:type="dxa"/>
            <w:bottom w:w="0" w:type="dxa"/>
            <w:right w:w="108" w:type="dxa"/>
          </w:tblCellMar>
        </w:tblPrEx>
        <w:trPr>
          <w:trHeight w:val="486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textAlignment w:val="center"/>
              <w:rPr>
                <w:rFonts w:ascii="仿宋_GB2312" w:hAnsi="宋体" w:eastAsia="仿宋_GB2312" w:cs="仿宋_GB2312"/>
                <w:color w:val="000000"/>
                <w:u w:val="none"/>
              </w:rPr>
            </w:pPr>
            <w:r>
              <w:rPr>
                <w:rFonts w:hint="eastAsia" w:ascii="仿宋_GB2312" w:hAnsi="宋体" w:eastAsia="仿宋_GB2312" w:cs="仿宋_GB2312"/>
                <w:color w:val="000000"/>
                <w:u w:val="none"/>
                <w:lang w:bidi="ar"/>
              </w:rPr>
              <w:t>单位申请声明</w:t>
            </w:r>
          </w:p>
        </w:tc>
        <w:tc>
          <w:tcPr>
            <w:tcW w:w="986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240"/>
              <w:jc w:val="left"/>
              <w:textAlignment w:val="center"/>
              <w:rPr>
                <w:rFonts w:ascii="仿宋_GB2312" w:hAnsi="宋体" w:eastAsia="仿宋_GB2312" w:cs="仿宋_GB2312"/>
                <w:color w:val="000000"/>
                <w:u w:val="none"/>
              </w:rPr>
            </w:pPr>
            <w:r>
              <w:rPr>
                <w:rFonts w:hint="eastAsia" w:ascii="仿宋_GB2312" w:hAnsi="宋体" w:eastAsia="仿宋_GB2312" w:cs="仿宋_GB2312"/>
                <w:color w:val="000000"/>
                <w:u w:val="none"/>
                <w:lang w:bidi="ar"/>
              </w:rPr>
              <w:t>本公司自愿加入太原重型机械集团有限公司资产评估机构备选库，并严格遵守太原重型机械集团有限公司关于资产评估机构的有关管理，对表中所填列内容及申报材料的真实性、准确性、完整性负责。如有不实，我公司愿承担由此产生的一切责任。</w:t>
            </w:r>
            <w:r>
              <w:rPr>
                <w:rFonts w:hint="eastAsia" w:ascii="仿宋_GB2312" w:hAnsi="宋体" w:eastAsia="仿宋_GB2312" w:cs="仿宋_GB2312"/>
                <w:color w:val="000000"/>
                <w:u w:val="none"/>
                <w:lang w:bidi="ar"/>
              </w:rPr>
              <w:br w:type="textWrapping"/>
            </w:r>
            <w:r>
              <w:rPr>
                <w:rFonts w:hint="eastAsia" w:ascii="仿宋_GB2312" w:hAnsi="宋体" w:eastAsia="仿宋_GB2312" w:cs="仿宋_GB2312"/>
                <w:color w:val="000000"/>
                <w:u w:val="none"/>
                <w:lang w:bidi="ar"/>
              </w:rPr>
              <w:br w:type="textWrapping"/>
            </w:r>
            <w:r>
              <w:rPr>
                <w:rFonts w:hint="eastAsia" w:ascii="仿宋_GB2312" w:hAnsi="宋体" w:eastAsia="仿宋_GB2312" w:cs="仿宋_GB2312"/>
                <w:color w:val="000000"/>
                <w:u w:val="none"/>
                <w:lang w:bidi="ar"/>
              </w:rPr>
              <w:br w:type="textWrapping"/>
            </w:r>
            <w:r>
              <w:rPr>
                <w:rFonts w:hint="eastAsia" w:ascii="仿宋_GB2312" w:hAnsi="宋体" w:eastAsia="仿宋_GB2312" w:cs="仿宋_GB2312"/>
                <w:color w:val="000000"/>
                <w:u w:val="none"/>
                <w:lang w:bidi="ar"/>
              </w:rPr>
              <w:t>法定代表人（签章）：</w:t>
            </w:r>
            <w:r>
              <w:rPr>
                <w:rFonts w:hint="eastAsia" w:ascii="仿宋_GB2312" w:hAnsi="宋体" w:eastAsia="仿宋_GB2312" w:cs="仿宋_GB2312"/>
                <w:color w:val="000000"/>
                <w:u w:val="none"/>
                <w:lang w:bidi="ar"/>
              </w:rPr>
              <w:br w:type="textWrapping"/>
            </w:r>
            <w:r>
              <w:rPr>
                <w:rFonts w:hint="eastAsia" w:ascii="仿宋_GB2312" w:hAnsi="宋体" w:eastAsia="仿宋_GB2312" w:cs="仿宋_GB2312"/>
                <w:color w:val="000000"/>
                <w:u w:val="none"/>
                <w:lang w:bidi="ar"/>
              </w:rPr>
              <w:br w:type="textWrapping"/>
            </w:r>
            <w:r>
              <w:rPr>
                <w:rFonts w:hint="eastAsia" w:ascii="仿宋_GB2312" w:hAnsi="宋体" w:eastAsia="仿宋_GB2312" w:cs="仿宋_GB2312"/>
                <w:color w:val="000000"/>
                <w:u w:val="none"/>
                <w:lang w:bidi="ar"/>
              </w:rPr>
              <w:br w:type="textWrapping"/>
            </w:r>
            <w:r>
              <w:rPr>
                <w:rFonts w:hint="eastAsia" w:ascii="仿宋_GB2312" w:hAnsi="宋体" w:eastAsia="仿宋_GB2312" w:cs="仿宋_GB2312"/>
                <w:color w:val="000000"/>
                <w:u w:val="none"/>
                <w:lang w:bidi="ar"/>
              </w:rPr>
              <w:t>申请单位（公章）：</w:t>
            </w:r>
            <w:r>
              <w:rPr>
                <w:rFonts w:hint="eastAsia" w:ascii="仿宋_GB2312" w:hAnsi="宋体" w:eastAsia="仿宋_GB2312" w:cs="仿宋_GB2312"/>
                <w:color w:val="000000"/>
                <w:u w:val="none"/>
                <w:lang w:bidi="ar"/>
              </w:rPr>
              <w:br w:type="textWrapping"/>
            </w:r>
            <w:r>
              <w:rPr>
                <w:rFonts w:hint="eastAsia" w:ascii="仿宋_GB2312" w:hAnsi="宋体" w:eastAsia="仿宋_GB2312" w:cs="仿宋_GB2312"/>
                <w:color w:val="000000"/>
                <w:u w:val="none"/>
                <w:lang w:bidi="ar"/>
              </w:rPr>
              <w:br w:type="textWrapping"/>
            </w:r>
          </w:p>
        </w:tc>
      </w:tr>
    </w:tbl>
    <w:p>
      <w:pPr>
        <w:pStyle w:val="4"/>
        <w:ind w:firstLine="0"/>
        <w:rPr>
          <w:rFonts w:ascii="宋体" w:hAnsi="宋体" w:cs="宋体"/>
          <w:color w:val="FF0000"/>
        </w:rPr>
      </w:pPr>
      <w:r>
        <w:rPr>
          <w:rFonts w:ascii="宋体" w:hAnsi="宋体" w:cs="宋体"/>
          <w:color w:val="FF0000"/>
        </w:rPr>
        <w:br w:type="page"/>
      </w:r>
      <w:bookmarkStart w:id="176" w:name="_Toc7"/>
      <w:bookmarkStart w:id="177" w:name="_Toc2378"/>
      <w:bookmarkStart w:id="178" w:name="_Toc23131"/>
      <w:bookmarkStart w:id="179" w:name="_Toc9241"/>
      <w:bookmarkStart w:id="180" w:name="_Toc489533809"/>
      <w:bookmarkStart w:id="181" w:name="_Toc484762144"/>
    </w:p>
    <w:p>
      <w:pPr>
        <w:pStyle w:val="4"/>
        <w:ind w:firstLine="482"/>
        <w:rPr>
          <w:rFonts w:ascii="宋体" w:hAnsi="宋体" w:cs="宋体"/>
          <w:lang w:val="zh-TW"/>
        </w:rPr>
      </w:pPr>
      <w:bookmarkStart w:id="182" w:name="_Toc29162"/>
      <w:bookmarkStart w:id="183" w:name="_Toc8"/>
      <w:bookmarkStart w:id="184" w:name="_Toc8968"/>
      <w:bookmarkStart w:id="185" w:name="_Toc9359"/>
      <w:bookmarkStart w:id="186" w:name="_Toc484762145"/>
      <w:bookmarkStart w:id="187" w:name="_Toc338"/>
      <w:bookmarkStart w:id="188" w:name="_Toc360"/>
      <w:bookmarkStart w:id="189" w:name="_Toc489533810"/>
      <w:r>
        <w:rPr>
          <w:rFonts w:hint="eastAsia"/>
        </w:rPr>
        <w:t>5</w:t>
      </w:r>
      <w:r>
        <w:rPr>
          <w:lang w:val="zh-TW"/>
        </w:rPr>
        <w:t>.</w:t>
      </w:r>
      <w:r>
        <w:rPr>
          <w:rFonts w:hint="eastAsia"/>
        </w:rPr>
        <w:t>4</w:t>
      </w:r>
      <w:r>
        <w:rPr>
          <w:lang w:val="zh-TW"/>
        </w:rPr>
        <w:t>资质证明文件</w:t>
      </w:r>
      <w:bookmarkEnd w:id="182"/>
      <w:bookmarkEnd w:id="183"/>
      <w:bookmarkEnd w:id="184"/>
      <w:bookmarkEnd w:id="185"/>
      <w:r>
        <w:rPr>
          <w:lang w:val="zh-TW"/>
        </w:rPr>
        <w:t>格式</w:t>
      </w:r>
      <w:bookmarkEnd w:id="186"/>
      <w:bookmarkEnd w:id="187"/>
      <w:bookmarkEnd w:id="188"/>
      <w:bookmarkEnd w:id="189"/>
    </w:p>
    <w:p>
      <w:pPr>
        <w:pStyle w:val="3"/>
        <w:spacing w:before="100" w:after="100" w:line="360" w:lineRule="auto"/>
        <w:jc w:val="center"/>
        <w:rPr>
          <w:rFonts w:ascii="宋体" w:hAnsi="宋体" w:eastAsia="宋体" w:cs="宋体"/>
          <w:sz w:val="24"/>
          <w:szCs w:val="24"/>
        </w:rPr>
      </w:pPr>
      <w:r>
        <w:rPr>
          <w:rFonts w:hint="eastAsia" w:ascii="宋体" w:hAnsi="宋体" w:eastAsia="宋体" w:cs="宋体"/>
          <w:b/>
          <w:sz w:val="30"/>
          <w:szCs w:val="30"/>
          <w:lang w:val="zh-TW" w:eastAsia="zh-TW"/>
        </w:rPr>
        <w:t>资质证明文件</w:t>
      </w:r>
    </w:p>
    <w:p>
      <w:pPr>
        <w:pStyle w:val="3"/>
        <w:spacing w:before="100" w:after="100" w:line="360" w:lineRule="auto"/>
        <w:ind w:firstLine="480" w:firstLineChars="200"/>
        <w:jc w:val="left"/>
        <w:rPr>
          <w:rFonts w:ascii="宋体" w:hAnsi="宋体" w:eastAsia="宋体" w:cs="宋体"/>
          <w:sz w:val="24"/>
          <w:szCs w:val="24"/>
        </w:rPr>
      </w:pPr>
      <w:r>
        <w:rPr>
          <w:rFonts w:ascii="宋体" w:hAnsi="宋体" w:eastAsia="宋体" w:cs="宋体"/>
          <w:sz w:val="24"/>
          <w:szCs w:val="24"/>
        </w:rPr>
        <w:t>1.</w:t>
      </w:r>
      <w:r>
        <w:rPr>
          <w:rFonts w:ascii="宋体" w:hAnsi="宋体" w:eastAsia="宋体" w:cs="宋体"/>
          <w:sz w:val="24"/>
          <w:szCs w:val="24"/>
          <w:lang w:val="zh-TW" w:eastAsia="zh-TW"/>
        </w:rPr>
        <w:t xml:space="preserve">营业执照（副本） </w:t>
      </w:r>
    </w:p>
    <w:p>
      <w:pPr>
        <w:pStyle w:val="3"/>
        <w:spacing w:before="100" w:after="100"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w:t>
      </w:r>
      <w:r>
        <w:rPr>
          <w:rFonts w:ascii="宋体" w:hAnsi="宋体" w:eastAsia="宋体" w:cs="宋体"/>
          <w:sz w:val="24"/>
          <w:szCs w:val="24"/>
          <w:lang w:val="zh-TW" w:eastAsia="zh-TW"/>
        </w:rPr>
        <w:t>基本账户开户许可证（副本）</w:t>
      </w:r>
    </w:p>
    <w:p>
      <w:pPr>
        <w:pStyle w:val="3"/>
        <w:spacing w:before="100" w:after="100" w:line="360" w:lineRule="auto"/>
        <w:ind w:firstLine="480" w:firstLineChars="200"/>
        <w:jc w:val="left"/>
        <w:rPr>
          <w:rFonts w:ascii="宋体" w:hAnsi="宋体" w:eastAsia="宋体" w:cs="宋体"/>
          <w:sz w:val="24"/>
          <w:szCs w:val="24"/>
          <w:lang w:val="zh-TW" w:eastAsia="zh-TW"/>
        </w:rPr>
      </w:pPr>
      <w:r>
        <w:rPr>
          <w:rFonts w:hint="eastAsia" w:ascii="宋体" w:hAnsi="宋体" w:eastAsia="宋体" w:cs="宋体"/>
          <w:sz w:val="24"/>
          <w:szCs w:val="24"/>
        </w:rPr>
        <w:t>3.</w:t>
      </w:r>
      <w:r>
        <w:rPr>
          <w:rFonts w:hint="eastAsia" w:ascii="宋体" w:hAnsi="宋体" w:eastAsia="宋体" w:cs="宋体"/>
          <w:sz w:val="24"/>
          <w:szCs w:val="24"/>
          <w:lang w:val="zh-TW" w:eastAsia="zh-TW"/>
        </w:rPr>
        <w:t>应聘机构相关执业资格证书或者备案文件复印件</w:t>
      </w:r>
    </w:p>
    <w:p>
      <w:pPr>
        <w:pStyle w:val="3"/>
        <w:spacing w:before="100" w:after="100" w:line="360" w:lineRule="auto"/>
        <w:ind w:firstLine="480" w:firstLineChars="200"/>
        <w:jc w:val="left"/>
        <w:rPr>
          <w:rFonts w:ascii="宋体" w:hAnsi="宋体" w:eastAsia="宋体" w:cs="宋体"/>
          <w:sz w:val="24"/>
          <w:szCs w:val="24"/>
          <w:lang w:val="zh-TW" w:eastAsia="zh-TW"/>
        </w:rPr>
      </w:pPr>
      <w:r>
        <w:rPr>
          <w:rFonts w:hint="eastAsia" w:ascii="宋体" w:hAnsi="宋体" w:eastAsia="宋体" w:cs="宋体"/>
          <w:sz w:val="24"/>
          <w:szCs w:val="24"/>
        </w:rPr>
        <w:t>4.</w:t>
      </w:r>
      <w:r>
        <w:rPr>
          <w:rFonts w:hint="eastAsia" w:ascii="宋体" w:hAnsi="宋体" w:eastAsia="宋体" w:cs="宋体"/>
          <w:sz w:val="24"/>
          <w:szCs w:val="24"/>
          <w:lang w:val="zh-TW" w:eastAsia="zh-TW"/>
        </w:rPr>
        <w:t>信用中国截图，企业信用信息公示系统截图</w:t>
      </w:r>
    </w:p>
    <w:p>
      <w:pPr>
        <w:pStyle w:val="3"/>
        <w:spacing w:before="100" w:after="100"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5</w:t>
      </w:r>
      <w:r>
        <w:rPr>
          <w:rFonts w:ascii="宋体" w:hAnsi="宋体" w:eastAsia="宋体" w:cs="宋体"/>
          <w:sz w:val="24"/>
          <w:szCs w:val="24"/>
        </w:rPr>
        <w:t>.</w:t>
      </w:r>
      <w:r>
        <w:rPr>
          <w:rFonts w:ascii="宋体" w:hAnsi="宋体" w:eastAsia="宋体" w:cs="宋体"/>
          <w:sz w:val="24"/>
          <w:szCs w:val="24"/>
          <w:lang w:val="zh-TW" w:eastAsia="zh-TW"/>
        </w:rPr>
        <w:t>其他要求的资质证明（需注明资质文件名称）</w:t>
      </w:r>
    </w:p>
    <w:p>
      <w:pPr>
        <w:pStyle w:val="3"/>
        <w:spacing w:before="100" w:after="100" w:line="360" w:lineRule="auto"/>
        <w:ind w:firstLine="480" w:firstLineChars="200"/>
        <w:jc w:val="left"/>
        <w:rPr>
          <w:rFonts w:ascii="宋体" w:hAnsi="宋体" w:eastAsia="宋体" w:cs="宋体"/>
          <w:color w:val="auto"/>
          <w:sz w:val="24"/>
          <w:szCs w:val="24"/>
        </w:rPr>
      </w:pPr>
      <w:r>
        <w:rPr>
          <w:rFonts w:ascii="宋体" w:hAnsi="宋体" w:eastAsia="宋体" w:cs="宋体"/>
          <w:color w:val="auto"/>
          <w:sz w:val="24"/>
          <w:szCs w:val="24"/>
          <w:lang w:val="zh-TW" w:eastAsia="zh-TW"/>
        </w:rPr>
        <w:t>注</w:t>
      </w:r>
      <w:r>
        <w:rPr>
          <w:rFonts w:hint="eastAsia" w:ascii="宋体" w:hAnsi="宋体" w:eastAsia="宋体" w:cs="宋体"/>
          <w:color w:val="auto"/>
          <w:sz w:val="24"/>
          <w:szCs w:val="24"/>
          <w:lang w:val="zh-TW"/>
        </w:rPr>
        <w:t>：</w:t>
      </w:r>
      <w:r>
        <w:rPr>
          <w:rFonts w:ascii="宋体" w:hAnsi="宋体" w:eastAsia="宋体" w:cs="宋体"/>
          <w:color w:val="auto"/>
          <w:sz w:val="24"/>
          <w:szCs w:val="24"/>
        </w:rPr>
        <w:t>1</w:t>
      </w:r>
      <w:r>
        <w:rPr>
          <w:rFonts w:hint="eastAsia" w:ascii="宋体" w:hAnsi="宋体" w:eastAsia="宋体" w:cs="宋体"/>
          <w:color w:val="auto"/>
          <w:sz w:val="24"/>
          <w:szCs w:val="24"/>
        </w:rPr>
        <w:t>.</w:t>
      </w:r>
      <w:r>
        <w:rPr>
          <w:rFonts w:ascii="宋体" w:hAnsi="宋体" w:eastAsia="宋体" w:cs="宋体"/>
          <w:color w:val="auto"/>
          <w:sz w:val="24"/>
          <w:szCs w:val="24"/>
          <w:lang w:val="zh-TW" w:eastAsia="zh-TW"/>
        </w:rPr>
        <w:t>如为三</w:t>
      </w:r>
      <w:r>
        <w:rPr>
          <w:rFonts w:hint="eastAsia" w:ascii="宋体" w:hAnsi="宋体" w:eastAsia="宋体" w:cs="宋体"/>
          <w:color w:val="auto"/>
          <w:sz w:val="24"/>
          <w:szCs w:val="24"/>
          <w:lang w:val="zh-TW" w:eastAsia="zh-TW"/>
        </w:rPr>
        <w:t>（五）</w:t>
      </w:r>
      <w:r>
        <w:rPr>
          <w:rFonts w:ascii="宋体" w:hAnsi="宋体" w:eastAsia="宋体" w:cs="宋体"/>
          <w:color w:val="auto"/>
          <w:sz w:val="24"/>
          <w:szCs w:val="24"/>
          <w:lang w:val="zh-TW" w:eastAsia="zh-TW"/>
        </w:rPr>
        <w:t>证合一证件，请提供三</w:t>
      </w:r>
      <w:r>
        <w:rPr>
          <w:rFonts w:hint="eastAsia" w:ascii="宋体" w:hAnsi="宋体" w:eastAsia="宋体" w:cs="宋体"/>
          <w:color w:val="auto"/>
          <w:sz w:val="24"/>
          <w:szCs w:val="24"/>
          <w:lang w:val="zh-TW" w:eastAsia="zh-TW"/>
        </w:rPr>
        <w:t>（五）</w:t>
      </w:r>
      <w:r>
        <w:rPr>
          <w:rFonts w:ascii="宋体" w:hAnsi="宋体" w:eastAsia="宋体" w:cs="宋体"/>
          <w:color w:val="auto"/>
          <w:sz w:val="24"/>
          <w:szCs w:val="24"/>
          <w:lang w:val="zh-TW" w:eastAsia="zh-TW"/>
        </w:rPr>
        <w:t>证合一之后的营业执照（副本），无需提供税务登记证和组织机构代码证；</w:t>
      </w:r>
    </w:p>
    <w:p>
      <w:pPr>
        <w:keepNext/>
        <w:keepLines/>
        <w:ind w:firstLineChars="200"/>
        <w:rPr>
          <w:rFonts w:ascii="宋体" w:hAnsi="宋体" w:cs="宋体"/>
          <w:u w:val="none"/>
        </w:rPr>
      </w:pPr>
      <w:bookmarkStart w:id="190" w:name="_Toc3501"/>
      <w:bookmarkStart w:id="191" w:name="_Toc20884"/>
      <w:r>
        <w:rPr>
          <w:rFonts w:ascii="宋体" w:hAnsi="宋体" w:cs="宋体"/>
          <w:u w:val="none"/>
          <w:lang w:val="zh-TW" w:eastAsia="zh-TW"/>
        </w:rPr>
        <w:t>以上资质文件需</w:t>
      </w:r>
      <w:r>
        <w:rPr>
          <w:rFonts w:hint="eastAsia" w:ascii="宋体" w:hAnsi="宋体" w:cs="宋体"/>
          <w:u w:val="none"/>
          <w:lang w:val="zh-TW" w:eastAsia="zh-TW"/>
        </w:rPr>
        <w:t>提供</w:t>
      </w:r>
      <w:r>
        <w:rPr>
          <w:rFonts w:ascii="宋体" w:hAnsi="宋体" w:cs="宋体"/>
          <w:u w:val="none"/>
          <w:lang w:val="zh-TW" w:eastAsia="zh-TW"/>
        </w:rPr>
        <w:t>复印件</w:t>
      </w:r>
      <w:r>
        <w:rPr>
          <w:rFonts w:hint="eastAsia" w:ascii="宋体" w:hAnsi="宋体" w:cs="宋体"/>
          <w:u w:val="none"/>
          <w:lang w:val="zh-TW"/>
        </w:rPr>
        <w:t>并</w:t>
      </w:r>
      <w:r>
        <w:rPr>
          <w:rFonts w:ascii="宋体" w:hAnsi="宋体" w:cs="宋体"/>
          <w:u w:val="none"/>
          <w:lang w:val="zh-TW" w:eastAsia="zh-TW"/>
        </w:rPr>
        <w:t>加盖</w:t>
      </w:r>
      <w:r>
        <w:rPr>
          <w:rFonts w:hint="eastAsia" w:ascii="宋体" w:hAnsi="宋体" w:cs="宋体"/>
          <w:u w:val="none"/>
        </w:rPr>
        <w:t>公章或投标专用章</w:t>
      </w:r>
      <w:r>
        <w:rPr>
          <w:rFonts w:hint="eastAsia" w:ascii="宋体" w:hAnsi="宋体" w:cs="宋体"/>
          <w:u w:val="none"/>
          <w:lang w:val="zh-TW"/>
        </w:rPr>
        <w:t>。</w:t>
      </w:r>
      <w:bookmarkEnd w:id="190"/>
      <w:bookmarkEnd w:id="191"/>
    </w:p>
    <w:p>
      <w:pPr>
        <w:keepNext/>
        <w:keepLines/>
        <w:ind w:firstLine="0"/>
        <w:rPr>
          <w:rFonts w:ascii="宋体" w:hAnsi="宋体" w:cs="宋体"/>
          <w:u w:val="none"/>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pStyle w:val="4"/>
        <w:ind w:firstLine="482" w:firstLineChars="200"/>
        <w:rPr>
          <w:rFonts w:ascii="宋体" w:hAnsi="宋体" w:cs="宋体"/>
          <w:color w:val="auto"/>
        </w:rPr>
      </w:pPr>
      <w:bookmarkStart w:id="192" w:name="_Toc21290"/>
      <w:bookmarkStart w:id="193" w:name="_Toc29287"/>
      <w:r>
        <w:rPr>
          <w:rFonts w:hint="eastAsia" w:ascii="宋体" w:hAnsi="宋体" w:cs="宋体"/>
          <w:color w:val="auto"/>
        </w:rPr>
        <w:t>5.5公司情况简介</w:t>
      </w:r>
      <w:bookmarkEnd w:id="192"/>
      <w:bookmarkEnd w:id="193"/>
    </w:p>
    <w:p>
      <w:pPr>
        <w:ind w:firstLine="0"/>
        <w:jc w:val="center"/>
        <w:rPr>
          <w:rFonts w:ascii="宋体" w:hAnsi="宋体" w:cs="宋体"/>
          <w:color w:val="FF0000"/>
        </w:rPr>
      </w:pPr>
      <w:bookmarkStart w:id="194" w:name="_Toc9460"/>
      <w:bookmarkStart w:id="195" w:name="_Toc2809"/>
      <w:r>
        <w:rPr>
          <w:rFonts w:hint="eastAsia" w:ascii="宋体" w:hAnsi="宋体" w:cs="宋体"/>
          <w:b/>
          <w:bCs/>
          <w:sz w:val="30"/>
          <w:szCs w:val="30"/>
          <w:u w:val="none"/>
        </w:rPr>
        <w:t>公司情况简介</w:t>
      </w:r>
      <w:bookmarkEnd w:id="194"/>
      <w:bookmarkEnd w:id="195"/>
    </w:p>
    <w:p>
      <w:pPr>
        <w:numPr>
          <w:ilvl w:val="0"/>
          <w:numId w:val="1"/>
        </w:numPr>
        <w:rPr>
          <w:rFonts w:ascii="宋体" w:hAnsi="宋体" w:cs="宋体"/>
          <w:u w:val="none"/>
        </w:rPr>
      </w:pPr>
      <w:bookmarkStart w:id="196" w:name="_Toc25349"/>
      <w:bookmarkStart w:id="197" w:name="_Toc30397"/>
      <w:r>
        <w:rPr>
          <w:rFonts w:hint="eastAsia" w:ascii="宋体" w:hAnsi="宋体" w:cs="宋体"/>
          <w:u w:val="none"/>
        </w:rPr>
        <w:t>公司概况</w:t>
      </w:r>
      <w:bookmarkEnd w:id="196"/>
      <w:bookmarkEnd w:id="197"/>
    </w:p>
    <w:p>
      <w:pPr>
        <w:ind w:firstLineChars="200"/>
        <w:rPr>
          <w:u w:val="none"/>
        </w:rPr>
      </w:pPr>
      <w:r>
        <w:rPr>
          <w:rFonts w:hint="eastAsia"/>
          <w:u w:val="none"/>
        </w:rPr>
        <w:t>内容包括但不限于</w:t>
      </w:r>
      <w:r>
        <w:rPr>
          <w:u w:val="none"/>
        </w:rPr>
        <w:t>公司历史沿革、人员构成、组织机构、部门设置和近三年行业内业绩表现（如是否为省属企业评估库成员单位），获得的荣誉并附有印证材料等。</w:t>
      </w:r>
    </w:p>
    <w:p>
      <w:pPr>
        <w:numPr>
          <w:ilvl w:val="0"/>
          <w:numId w:val="1"/>
        </w:numPr>
        <w:rPr>
          <w:u w:val="none"/>
        </w:rPr>
      </w:pPr>
      <w:r>
        <w:rPr>
          <w:rFonts w:hint="eastAsia"/>
          <w:u w:val="none"/>
        </w:rPr>
        <w:t>执业人员情况</w:t>
      </w:r>
    </w:p>
    <w:p>
      <w:pPr>
        <w:ind w:firstLineChars="200"/>
        <w:rPr>
          <w:u w:val="none"/>
        </w:rPr>
      </w:pPr>
      <w:r>
        <w:rPr>
          <w:rFonts w:hint="eastAsia"/>
          <w:u w:val="none"/>
        </w:rPr>
        <w:t>内容包括但不限于</w:t>
      </w:r>
      <w:r>
        <w:rPr>
          <w:u w:val="none"/>
        </w:rPr>
        <w:t>执业人员名单</w:t>
      </w:r>
      <w:r>
        <w:rPr>
          <w:rFonts w:hint="eastAsia"/>
          <w:u w:val="none"/>
        </w:rPr>
        <w:t>（名单内容详见附件1）、机构内部执业人员作为省国资委、省国资运营公司或者省属企业专家库成员情况。</w:t>
      </w:r>
      <w:r>
        <w:rPr>
          <w:u w:val="none"/>
        </w:rPr>
        <w:t>执业人员须提供执业资格证书证明复印件；主要人员获得的荣誉并附有印证材料。</w:t>
      </w:r>
    </w:p>
    <w:p>
      <w:pPr>
        <w:numPr>
          <w:ilvl w:val="0"/>
          <w:numId w:val="1"/>
        </w:numPr>
        <w:rPr>
          <w:u w:val="none"/>
        </w:rPr>
      </w:pPr>
      <w:r>
        <w:rPr>
          <w:rFonts w:hint="eastAsia"/>
          <w:u w:val="none"/>
        </w:rPr>
        <w:t>公司内部管理制度</w:t>
      </w:r>
    </w:p>
    <w:p>
      <w:pPr>
        <w:ind w:firstLineChars="200"/>
        <w:rPr>
          <w:u w:val="none"/>
        </w:rPr>
      </w:pPr>
      <w:r>
        <w:rPr>
          <w:rFonts w:hint="eastAsia"/>
          <w:u w:val="none"/>
        </w:rPr>
        <w:t>内容包括但不限于质量控制制度、风险控制制度、机构内部报告审查流程及质量保障措施等。</w:t>
      </w:r>
    </w:p>
    <w:p>
      <w:pPr>
        <w:numPr>
          <w:ilvl w:val="0"/>
          <w:numId w:val="1"/>
        </w:numPr>
        <w:rPr>
          <w:u w:val="none"/>
        </w:rPr>
      </w:pPr>
      <w:r>
        <w:rPr>
          <w:rFonts w:hint="eastAsia"/>
          <w:u w:val="none"/>
        </w:rPr>
        <w:t>公司财务状况</w:t>
      </w:r>
    </w:p>
    <w:p>
      <w:pPr>
        <w:ind w:firstLineChars="200"/>
        <w:rPr>
          <w:u w:val="none"/>
        </w:rPr>
      </w:pPr>
      <w:r>
        <w:rPr>
          <w:rFonts w:hint="eastAsia"/>
          <w:u w:val="none"/>
        </w:rPr>
        <w:t>公司</w:t>
      </w:r>
      <w:r>
        <w:rPr>
          <w:u w:val="none"/>
        </w:rPr>
        <w:t>近一年主要财务状况，需提供近一年的财务报表复印件（仅须包含审计报告封面至签字页，资产负债表、利润表及现金流量表）</w:t>
      </w:r>
      <w:r>
        <w:rPr>
          <w:rFonts w:hint="eastAsia"/>
          <w:u w:val="none"/>
        </w:rPr>
        <w:t>。</w:t>
      </w:r>
    </w:p>
    <w:p>
      <w:pPr>
        <w:numPr>
          <w:ilvl w:val="0"/>
          <w:numId w:val="1"/>
        </w:numPr>
        <w:rPr>
          <w:u w:val="none"/>
        </w:rPr>
      </w:pPr>
      <w:r>
        <w:rPr>
          <w:rFonts w:hint="eastAsia"/>
          <w:u w:val="none"/>
        </w:rPr>
        <w:t>公司近三年业绩情况</w:t>
      </w:r>
    </w:p>
    <w:p>
      <w:pPr>
        <w:ind w:firstLineChars="200"/>
        <w:rPr>
          <w:u w:val="none"/>
        </w:rPr>
      </w:pPr>
      <w:r>
        <w:rPr>
          <w:rFonts w:hint="eastAsia"/>
          <w:u w:val="none"/>
        </w:rPr>
        <w:t>主要内容包括</w:t>
      </w:r>
      <w:r>
        <w:rPr>
          <w:u w:val="none"/>
        </w:rPr>
        <w:t>近三年完成省属企业主要评估项目情况</w:t>
      </w:r>
      <w:r>
        <w:rPr>
          <w:rFonts w:hint="eastAsia"/>
          <w:u w:val="none"/>
        </w:rPr>
        <w:t>（详见附件3）</w:t>
      </w:r>
      <w:r>
        <w:rPr>
          <w:u w:val="none"/>
        </w:rPr>
        <w:t>，需提供中标通知书或资产评估合同。</w:t>
      </w:r>
    </w:p>
    <w:p>
      <w:pPr>
        <w:numPr>
          <w:ilvl w:val="0"/>
          <w:numId w:val="1"/>
        </w:numPr>
        <w:rPr>
          <w:u w:val="none"/>
        </w:rPr>
      </w:pPr>
      <w:r>
        <w:rPr>
          <w:rFonts w:hint="eastAsia"/>
          <w:u w:val="none"/>
        </w:rPr>
        <w:t>其他内容</w:t>
      </w:r>
    </w:p>
    <w:p>
      <w:pPr>
        <w:ind w:left="480" w:firstLine="0"/>
        <w:rPr>
          <w:u w:val="none"/>
        </w:rPr>
      </w:pPr>
      <w:r>
        <w:rPr>
          <w:u w:val="none"/>
        </w:rPr>
        <w:t>投标机构认为需要加以说明的其他内容</w:t>
      </w:r>
      <w:r>
        <w:rPr>
          <w:rFonts w:hint="eastAsia"/>
          <w:u w:val="none"/>
        </w:rPr>
        <w:t>。</w:t>
      </w:r>
    </w:p>
    <w:p>
      <w:pPr>
        <w:ind w:left="480" w:firstLine="0"/>
        <w:rPr>
          <w:u w:val="none"/>
        </w:rPr>
      </w:pPr>
    </w:p>
    <w:p>
      <w:pPr>
        <w:ind w:left="480" w:firstLine="0"/>
        <w:rPr>
          <w:u w:val="none"/>
        </w:rPr>
      </w:pPr>
    </w:p>
    <w:p>
      <w:pPr>
        <w:ind w:left="480" w:firstLine="0"/>
        <w:rPr>
          <w:u w:val="none"/>
        </w:rPr>
      </w:pPr>
    </w:p>
    <w:p>
      <w:pPr>
        <w:ind w:left="480" w:firstLine="0"/>
        <w:rPr>
          <w:u w:val="none"/>
        </w:rPr>
      </w:pPr>
    </w:p>
    <w:p>
      <w:pPr>
        <w:ind w:left="480" w:firstLine="0"/>
        <w:rPr>
          <w:u w:val="none"/>
        </w:rPr>
      </w:pPr>
    </w:p>
    <w:p>
      <w:pPr>
        <w:ind w:left="480" w:firstLine="0"/>
        <w:rPr>
          <w:u w:val="none"/>
        </w:rPr>
      </w:pPr>
    </w:p>
    <w:p>
      <w:pPr>
        <w:ind w:left="480" w:firstLine="0"/>
        <w:rPr>
          <w:u w:val="none"/>
        </w:rPr>
      </w:pPr>
    </w:p>
    <w:p>
      <w:pPr>
        <w:ind w:left="480" w:firstLine="0"/>
        <w:rPr>
          <w:u w:val="none"/>
        </w:rPr>
      </w:pPr>
    </w:p>
    <w:p>
      <w:pPr>
        <w:ind w:firstLine="0"/>
        <w:rPr>
          <w:u w:val="none"/>
        </w:rPr>
      </w:pPr>
    </w:p>
    <w:p>
      <w:pPr>
        <w:ind w:left="480" w:firstLine="0"/>
        <w:rPr>
          <w:u w:val="none"/>
        </w:rPr>
      </w:pPr>
      <w:r>
        <w:rPr>
          <w:rFonts w:hint="eastAsia"/>
          <w:u w:val="none"/>
        </w:rPr>
        <w:t>附件1：执业人员情况汇总表</w:t>
      </w:r>
    </w:p>
    <w:p>
      <w:pPr>
        <w:ind w:firstLine="0"/>
        <w:jc w:val="center"/>
        <w:rPr>
          <w:u w:val="none"/>
        </w:rPr>
      </w:pPr>
      <w:r>
        <w:rPr>
          <w:rFonts w:hint="eastAsia"/>
          <w:b/>
          <w:bCs/>
          <w:sz w:val="30"/>
          <w:szCs w:val="30"/>
          <w:u w:val="none"/>
        </w:rPr>
        <w:t>执业人员情况汇总表</w:t>
      </w:r>
    </w:p>
    <w:tbl>
      <w:tblPr>
        <w:tblStyle w:val="25"/>
        <w:tblW w:w="9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281"/>
        <w:gridCol w:w="751"/>
        <w:gridCol w:w="854"/>
        <w:gridCol w:w="1140"/>
        <w:gridCol w:w="1139"/>
        <w:gridCol w:w="951"/>
        <w:gridCol w:w="1442"/>
        <w:gridCol w:w="681"/>
        <w:gridCol w:w="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820" w:type="dxa"/>
            <w:vMerge w:val="restart"/>
            <w:vAlign w:val="center"/>
          </w:tcPr>
          <w:p>
            <w:pPr>
              <w:spacing w:line="200" w:lineRule="exact"/>
              <w:ind w:firstLine="0"/>
              <w:jc w:val="center"/>
              <w:rPr>
                <w:b/>
                <w:bCs/>
                <w:sz w:val="24"/>
                <w:szCs w:val="24"/>
                <w:u w:val="none"/>
              </w:rPr>
            </w:pPr>
            <w:r>
              <w:rPr>
                <w:b/>
                <w:bCs/>
                <w:sz w:val="24"/>
                <w:szCs w:val="24"/>
                <w:u w:val="none"/>
              </w:rPr>
              <w:t>序号</w:t>
            </w:r>
          </w:p>
        </w:tc>
        <w:tc>
          <w:tcPr>
            <w:tcW w:w="1281" w:type="dxa"/>
            <w:vMerge w:val="restart"/>
            <w:vAlign w:val="center"/>
          </w:tcPr>
          <w:p>
            <w:pPr>
              <w:spacing w:line="200" w:lineRule="exact"/>
              <w:ind w:firstLine="0"/>
              <w:jc w:val="center"/>
              <w:rPr>
                <w:b/>
                <w:bCs/>
                <w:sz w:val="24"/>
                <w:szCs w:val="24"/>
                <w:u w:val="none"/>
              </w:rPr>
            </w:pPr>
            <w:r>
              <w:rPr>
                <w:b/>
                <w:bCs/>
                <w:sz w:val="24"/>
                <w:szCs w:val="24"/>
                <w:u w:val="none"/>
              </w:rPr>
              <w:t>姓名</w:t>
            </w:r>
          </w:p>
        </w:tc>
        <w:tc>
          <w:tcPr>
            <w:tcW w:w="751" w:type="dxa"/>
            <w:vMerge w:val="restart"/>
            <w:vAlign w:val="center"/>
          </w:tcPr>
          <w:p>
            <w:pPr>
              <w:spacing w:line="200" w:lineRule="exact"/>
              <w:ind w:firstLine="0"/>
              <w:jc w:val="center"/>
              <w:rPr>
                <w:b/>
                <w:bCs/>
                <w:sz w:val="24"/>
                <w:szCs w:val="24"/>
                <w:u w:val="none"/>
              </w:rPr>
            </w:pPr>
            <w:r>
              <w:rPr>
                <w:rFonts w:hint="eastAsia"/>
                <w:b/>
                <w:bCs/>
                <w:sz w:val="24"/>
                <w:szCs w:val="24"/>
                <w:u w:val="none"/>
              </w:rPr>
              <w:t>身份证号</w:t>
            </w:r>
          </w:p>
        </w:tc>
        <w:tc>
          <w:tcPr>
            <w:tcW w:w="854" w:type="dxa"/>
            <w:vMerge w:val="restart"/>
            <w:vAlign w:val="center"/>
          </w:tcPr>
          <w:p>
            <w:pPr>
              <w:spacing w:line="200" w:lineRule="exact"/>
              <w:ind w:firstLine="0"/>
              <w:jc w:val="center"/>
              <w:rPr>
                <w:b/>
                <w:bCs/>
                <w:sz w:val="24"/>
                <w:szCs w:val="24"/>
                <w:u w:val="none"/>
              </w:rPr>
            </w:pPr>
            <w:r>
              <w:rPr>
                <w:rFonts w:hint="eastAsia"/>
                <w:b/>
                <w:bCs/>
                <w:sz w:val="24"/>
                <w:szCs w:val="24"/>
                <w:u w:val="none"/>
              </w:rPr>
              <w:t>专业</w:t>
            </w:r>
          </w:p>
        </w:tc>
        <w:tc>
          <w:tcPr>
            <w:tcW w:w="3230" w:type="dxa"/>
            <w:gridSpan w:val="3"/>
            <w:vAlign w:val="center"/>
          </w:tcPr>
          <w:p>
            <w:pPr>
              <w:spacing w:line="200" w:lineRule="exact"/>
              <w:ind w:left="0" w:leftChars="0" w:firstLine="0" w:firstLineChars="0"/>
              <w:jc w:val="center"/>
              <w:rPr>
                <w:b/>
                <w:bCs/>
                <w:sz w:val="24"/>
                <w:szCs w:val="24"/>
                <w:u w:val="none"/>
              </w:rPr>
            </w:pPr>
            <w:r>
              <w:rPr>
                <w:rFonts w:hint="eastAsia"/>
                <w:b/>
                <w:bCs/>
                <w:sz w:val="24"/>
                <w:szCs w:val="24"/>
                <w:u w:val="none"/>
              </w:rPr>
              <w:t>执业或职业资格证明</w:t>
            </w:r>
          </w:p>
        </w:tc>
        <w:tc>
          <w:tcPr>
            <w:tcW w:w="1442" w:type="dxa"/>
            <w:vMerge w:val="restart"/>
            <w:vAlign w:val="center"/>
          </w:tcPr>
          <w:p>
            <w:pPr>
              <w:spacing w:line="200" w:lineRule="exact"/>
              <w:ind w:firstLine="0"/>
              <w:jc w:val="center"/>
              <w:rPr>
                <w:b/>
                <w:bCs/>
                <w:sz w:val="24"/>
                <w:szCs w:val="24"/>
                <w:u w:val="none"/>
              </w:rPr>
            </w:pPr>
            <w:r>
              <w:rPr>
                <w:rFonts w:hint="eastAsia"/>
                <w:b/>
                <w:bCs/>
                <w:sz w:val="24"/>
                <w:szCs w:val="24"/>
                <w:u w:val="none"/>
              </w:rPr>
              <w:t>是否省国资委、省国运公司或省属企业专家库成员，如有，请列明详细信息</w:t>
            </w:r>
          </w:p>
        </w:tc>
        <w:tc>
          <w:tcPr>
            <w:tcW w:w="681" w:type="dxa"/>
            <w:vMerge w:val="restart"/>
            <w:vAlign w:val="center"/>
          </w:tcPr>
          <w:p>
            <w:pPr>
              <w:spacing w:line="200" w:lineRule="exact"/>
              <w:ind w:firstLine="0"/>
              <w:jc w:val="center"/>
              <w:rPr>
                <w:b/>
                <w:bCs/>
                <w:sz w:val="24"/>
                <w:szCs w:val="24"/>
                <w:u w:val="none"/>
              </w:rPr>
            </w:pPr>
            <w:r>
              <w:rPr>
                <w:rFonts w:hint="eastAsia"/>
                <w:b/>
                <w:bCs/>
                <w:sz w:val="24"/>
                <w:szCs w:val="24"/>
                <w:u w:val="none"/>
              </w:rPr>
              <w:t>联系方式</w:t>
            </w:r>
          </w:p>
        </w:tc>
        <w:tc>
          <w:tcPr>
            <w:tcW w:w="730" w:type="dxa"/>
            <w:vMerge w:val="restart"/>
            <w:vAlign w:val="center"/>
          </w:tcPr>
          <w:p>
            <w:pPr>
              <w:spacing w:line="200" w:lineRule="exact"/>
              <w:ind w:firstLine="0"/>
              <w:jc w:val="center"/>
              <w:rPr>
                <w:b/>
                <w:bCs/>
                <w:sz w:val="24"/>
                <w:szCs w:val="24"/>
                <w:u w:val="none"/>
              </w:rPr>
            </w:pPr>
            <w:r>
              <w:rPr>
                <w:rFonts w:hint="eastAsia"/>
                <w:b/>
                <w:bCs/>
                <w:sz w:val="24"/>
                <w:szCs w:val="24"/>
                <w:u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9" w:hRule="atLeast"/>
          <w:jc w:val="center"/>
        </w:trPr>
        <w:tc>
          <w:tcPr>
            <w:tcW w:w="820" w:type="dxa"/>
            <w:vMerge w:val="continue"/>
          </w:tcPr>
          <w:p>
            <w:pPr>
              <w:spacing w:line="200" w:lineRule="exact"/>
              <w:rPr>
                <w:sz w:val="20"/>
                <w:szCs w:val="20"/>
              </w:rPr>
            </w:pPr>
          </w:p>
        </w:tc>
        <w:tc>
          <w:tcPr>
            <w:tcW w:w="1281" w:type="dxa"/>
            <w:vMerge w:val="continue"/>
          </w:tcPr>
          <w:p>
            <w:pPr>
              <w:spacing w:line="200" w:lineRule="exact"/>
              <w:rPr>
                <w:sz w:val="20"/>
                <w:szCs w:val="20"/>
              </w:rPr>
            </w:pPr>
          </w:p>
        </w:tc>
        <w:tc>
          <w:tcPr>
            <w:tcW w:w="751" w:type="dxa"/>
            <w:vMerge w:val="continue"/>
          </w:tcPr>
          <w:p>
            <w:pPr>
              <w:spacing w:line="200" w:lineRule="exact"/>
              <w:rPr>
                <w:sz w:val="20"/>
                <w:szCs w:val="20"/>
              </w:rPr>
            </w:pPr>
          </w:p>
        </w:tc>
        <w:tc>
          <w:tcPr>
            <w:tcW w:w="854" w:type="dxa"/>
            <w:vMerge w:val="continue"/>
          </w:tcPr>
          <w:p>
            <w:pPr>
              <w:spacing w:line="200" w:lineRule="exact"/>
              <w:rPr>
                <w:sz w:val="20"/>
                <w:szCs w:val="20"/>
              </w:rPr>
            </w:pPr>
          </w:p>
        </w:tc>
        <w:tc>
          <w:tcPr>
            <w:tcW w:w="1140" w:type="dxa"/>
            <w:vAlign w:val="center"/>
          </w:tcPr>
          <w:p>
            <w:pPr>
              <w:spacing w:line="200" w:lineRule="exact"/>
              <w:ind w:firstLine="201" w:firstLineChars="100"/>
              <w:jc w:val="center"/>
              <w:rPr>
                <w:b/>
                <w:bCs/>
                <w:sz w:val="20"/>
                <w:szCs w:val="20"/>
                <w:u w:val="none"/>
              </w:rPr>
            </w:pPr>
            <w:r>
              <w:rPr>
                <w:rFonts w:hint="eastAsia"/>
                <w:b/>
                <w:bCs/>
                <w:sz w:val="20"/>
                <w:szCs w:val="20"/>
                <w:u w:val="none"/>
              </w:rPr>
              <w:t>证书名称</w:t>
            </w:r>
          </w:p>
        </w:tc>
        <w:tc>
          <w:tcPr>
            <w:tcW w:w="1139" w:type="dxa"/>
            <w:vAlign w:val="center"/>
          </w:tcPr>
          <w:p>
            <w:pPr>
              <w:spacing w:line="200" w:lineRule="exact"/>
              <w:ind w:firstLine="0"/>
              <w:jc w:val="center"/>
              <w:rPr>
                <w:b/>
                <w:bCs/>
                <w:sz w:val="20"/>
                <w:szCs w:val="20"/>
                <w:u w:val="none"/>
              </w:rPr>
            </w:pPr>
            <w:r>
              <w:rPr>
                <w:rFonts w:hint="eastAsia"/>
                <w:b/>
                <w:bCs/>
                <w:sz w:val="20"/>
                <w:szCs w:val="20"/>
                <w:u w:val="none"/>
              </w:rPr>
              <w:t>级别</w:t>
            </w:r>
          </w:p>
        </w:tc>
        <w:tc>
          <w:tcPr>
            <w:tcW w:w="951" w:type="dxa"/>
            <w:vAlign w:val="center"/>
          </w:tcPr>
          <w:p>
            <w:pPr>
              <w:spacing w:line="200" w:lineRule="exact"/>
              <w:ind w:firstLine="0"/>
              <w:jc w:val="center"/>
              <w:rPr>
                <w:b/>
                <w:bCs/>
                <w:sz w:val="20"/>
                <w:szCs w:val="20"/>
                <w:u w:val="none"/>
              </w:rPr>
            </w:pPr>
            <w:r>
              <w:rPr>
                <w:rFonts w:hint="eastAsia"/>
                <w:b/>
                <w:bCs/>
                <w:sz w:val="20"/>
                <w:szCs w:val="20"/>
                <w:u w:val="none"/>
              </w:rPr>
              <w:t>证号</w:t>
            </w:r>
          </w:p>
        </w:tc>
        <w:tc>
          <w:tcPr>
            <w:tcW w:w="1442" w:type="dxa"/>
            <w:vMerge w:val="continue"/>
          </w:tcPr>
          <w:p>
            <w:pPr>
              <w:spacing w:line="200" w:lineRule="exact"/>
              <w:rPr>
                <w:sz w:val="20"/>
                <w:szCs w:val="20"/>
              </w:rPr>
            </w:pPr>
          </w:p>
        </w:tc>
        <w:tc>
          <w:tcPr>
            <w:tcW w:w="681" w:type="dxa"/>
            <w:vMerge w:val="continue"/>
          </w:tcPr>
          <w:p>
            <w:pPr>
              <w:spacing w:line="200" w:lineRule="exact"/>
              <w:rPr>
                <w:sz w:val="20"/>
                <w:szCs w:val="20"/>
              </w:rPr>
            </w:pPr>
          </w:p>
        </w:tc>
        <w:tc>
          <w:tcPr>
            <w:tcW w:w="730" w:type="dxa"/>
            <w:vMerge w:val="continue"/>
          </w:tcPr>
          <w:p>
            <w:pPr>
              <w:spacing w:line="200" w:lineRule="exact"/>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20" w:type="dxa"/>
          </w:tcPr>
          <w:p>
            <w:pPr>
              <w:spacing w:line="200" w:lineRule="exact"/>
              <w:rPr>
                <w:sz w:val="20"/>
                <w:szCs w:val="20"/>
              </w:rPr>
            </w:pPr>
          </w:p>
        </w:tc>
        <w:tc>
          <w:tcPr>
            <w:tcW w:w="1281" w:type="dxa"/>
          </w:tcPr>
          <w:p>
            <w:pPr>
              <w:spacing w:line="200" w:lineRule="exact"/>
              <w:rPr>
                <w:sz w:val="20"/>
                <w:szCs w:val="20"/>
              </w:rPr>
            </w:pPr>
          </w:p>
        </w:tc>
        <w:tc>
          <w:tcPr>
            <w:tcW w:w="751" w:type="dxa"/>
          </w:tcPr>
          <w:p>
            <w:pPr>
              <w:spacing w:line="200" w:lineRule="exact"/>
              <w:rPr>
                <w:sz w:val="20"/>
                <w:szCs w:val="20"/>
              </w:rPr>
            </w:pPr>
          </w:p>
        </w:tc>
        <w:tc>
          <w:tcPr>
            <w:tcW w:w="854" w:type="dxa"/>
          </w:tcPr>
          <w:p>
            <w:pPr>
              <w:spacing w:line="200" w:lineRule="exact"/>
              <w:rPr>
                <w:sz w:val="20"/>
                <w:szCs w:val="20"/>
              </w:rPr>
            </w:pPr>
          </w:p>
        </w:tc>
        <w:tc>
          <w:tcPr>
            <w:tcW w:w="1140" w:type="dxa"/>
          </w:tcPr>
          <w:p>
            <w:pPr>
              <w:spacing w:line="200" w:lineRule="exact"/>
              <w:rPr>
                <w:sz w:val="20"/>
                <w:szCs w:val="20"/>
              </w:rPr>
            </w:pPr>
          </w:p>
        </w:tc>
        <w:tc>
          <w:tcPr>
            <w:tcW w:w="1139" w:type="dxa"/>
          </w:tcPr>
          <w:p>
            <w:pPr>
              <w:spacing w:line="200" w:lineRule="exact"/>
              <w:rPr>
                <w:sz w:val="20"/>
                <w:szCs w:val="20"/>
              </w:rPr>
            </w:pPr>
          </w:p>
        </w:tc>
        <w:tc>
          <w:tcPr>
            <w:tcW w:w="951" w:type="dxa"/>
          </w:tcPr>
          <w:p>
            <w:pPr>
              <w:spacing w:line="200" w:lineRule="exact"/>
              <w:rPr>
                <w:sz w:val="20"/>
                <w:szCs w:val="20"/>
              </w:rPr>
            </w:pPr>
          </w:p>
        </w:tc>
        <w:tc>
          <w:tcPr>
            <w:tcW w:w="1442" w:type="dxa"/>
          </w:tcPr>
          <w:p>
            <w:pPr>
              <w:spacing w:line="200" w:lineRule="exact"/>
              <w:rPr>
                <w:sz w:val="20"/>
                <w:szCs w:val="20"/>
              </w:rPr>
            </w:pPr>
          </w:p>
        </w:tc>
        <w:tc>
          <w:tcPr>
            <w:tcW w:w="681" w:type="dxa"/>
          </w:tcPr>
          <w:p>
            <w:pPr>
              <w:spacing w:line="200" w:lineRule="exact"/>
              <w:rPr>
                <w:sz w:val="20"/>
                <w:szCs w:val="20"/>
              </w:rPr>
            </w:pPr>
          </w:p>
        </w:tc>
        <w:tc>
          <w:tcPr>
            <w:tcW w:w="730" w:type="dxa"/>
          </w:tcPr>
          <w:p>
            <w:pPr>
              <w:spacing w:line="200" w:lineRule="exact"/>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0" w:type="dxa"/>
          </w:tcPr>
          <w:p>
            <w:pPr>
              <w:spacing w:line="200" w:lineRule="exact"/>
              <w:rPr>
                <w:sz w:val="20"/>
                <w:szCs w:val="20"/>
              </w:rPr>
            </w:pPr>
          </w:p>
        </w:tc>
        <w:tc>
          <w:tcPr>
            <w:tcW w:w="1281" w:type="dxa"/>
          </w:tcPr>
          <w:p>
            <w:pPr>
              <w:spacing w:line="200" w:lineRule="exact"/>
              <w:rPr>
                <w:sz w:val="20"/>
                <w:szCs w:val="20"/>
              </w:rPr>
            </w:pPr>
          </w:p>
        </w:tc>
        <w:tc>
          <w:tcPr>
            <w:tcW w:w="751" w:type="dxa"/>
          </w:tcPr>
          <w:p>
            <w:pPr>
              <w:spacing w:line="200" w:lineRule="exact"/>
              <w:rPr>
                <w:sz w:val="20"/>
                <w:szCs w:val="20"/>
              </w:rPr>
            </w:pPr>
          </w:p>
        </w:tc>
        <w:tc>
          <w:tcPr>
            <w:tcW w:w="854" w:type="dxa"/>
          </w:tcPr>
          <w:p>
            <w:pPr>
              <w:spacing w:line="200" w:lineRule="exact"/>
              <w:rPr>
                <w:sz w:val="20"/>
                <w:szCs w:val="20"/>
              </w:rPr>
            </w:pPr>
          </w:p>
        </w:tc>
        <w:tc>
          <w:tcPr>
            <w:tcW w:w="1140" w:type="dxa"/>
          </w:tcPr>
          <w:p>
            <w:pPr>
              <w:spacing w:line="200" w:lineRule="exact"/>
              <w:rPr>
                <w:sz w:val="20"/>
                <w:szCs w:val="20"/>
              </w:rPr>
            </w:pPr>
          </w:p>
        </w:tc>
        <w:tc>
          <w:tcPr>
            <w:tcW w:w="1139" w:type="dxa"/>
          </w:tcPr>
          <w:p>
            <w:pPr>
              <w:spacing w:line="200" w:lineRule="exact"/>
              <w:rPr>
                <w:sz w:val="20"/>
                <w:szCs w:val="20"/>
              </w:rPr>
            </w:pPr>
          </w:p>
        </w:tc>
        <w:tc>
          <w:tcPr>
            <w:tcW w:w="951" w:type="dxa"/>
          </w:tcPr>
          <w:p>
            <w:pPr>
              <w:spacing w:line="200" w:lineRule="exact"/>
              <w:rPr>
                <w:sz w:val="20"/>
                <w:szCs w:val="20"/>
              </w:rPr>
            </w:pPr>
          </w:p>
        </w:tc>
        <w:tc>
          <w:tcPr>
            <w:tcW w:w="1442" w:type="dxa"/>
          </w:tcPr>
          <w:p>
            <w:pPr>
              <w:spacing w:line="200" w:lineRule="exact"/>
              <w:rPr>
                <w:sz w:val="20"/>
                <w:szCs w:val="20"/>
              </w:rPr>
            </w:pPr>
          </w:p>
        </w:tc>
        <w:tc>
          <w:tcPr>
            <w:tcW w:w="681" w:type="dxa"/>
          </w:tcPr>
          <w:p>
            <w:pPr>
              <w:spacing w:line="200" w:lineRule="exact"/>
              <w:rPr>
                <w:sz w:val="20"/>
                <w:szCs w:val="20"/>
              </w:rPr>
            </w:pPr>
          </w:p>
        </w:tc>
        <w:tc>
          <w:tcPr>
            <w:tcW w:w="730" w:type="dxa"/>
          </w:tcPr>
          <w:p>
            <w:pPr>
              <w:spacing w:line="200" w:lineRule="exact"/>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820" w:type="dxa"/>
          </w:tcPr>
          <w:p>
            <w:pPr>
              <w:spacing w:line="200" w:lineRule="exact"/>
              <w:rPr>
                <w:sz w:val="20"/>
                <w:szCs w:val="20"/>
              </w:rPr>
            </w:pPr>
          </w:p>
        </w:tc>
        <w:tc>
          <w:tcPr>
            <w:tcW w:w="1281" w:type="dxa"/>
          </w:tcPr>
          <w:p>
            <w:pPr>
              <w:spacing w:line="200" w:lineRule="exact"/>
              <w:rPr>
                <w:sz w:val="20"/>
                <w:szCs w:val="20"/>
              </w:rPr>
            </w:pPr>
          </w:p>
        </w:tc>
        <w:tc>
          <w:tcPr>
            <w:tcW w:w="751" w:type="dxa"/>
          </w:tcPr>
          <w:p>
            <w:pPr>
              <w:spacing w:line="200" w:lineRule="exact"/>
              <w:rPr>
                <w:sz w:val="20"/>
                <w:szCs w:val="20"/>
              </w:rPr>
            </w:pPr>
          </w:p>
        </w:tc>
        <w:tc>
          <w:tcPr>
            <w:tcW w:w="854" w:type="dxa"/>
          </w:tcPr>
          <w:p>
            <w:pPr>
              <w:spacing w:line="200" w:lineRule="exact"/>
              <w:rPr>
                <w:sz w:val="20"/>
                <w:szCs w:val="20"/>
              </w:rPr>
            </w:pPr>
          </w:p>
        </w:tc>
        <w:tc>
          <w:tcPr>
            <w:tcW w:w="1140" w:type="dxa"/>
          </w:tcPr>
          <w:p>
            <w:pPr>
              <w:spacing w:line="200" w:lineRule="exact"/>
              <w:rPr>
                <w:sz w:val="20"/>
                <w:szCs w:val="20"/>
              </w:rPr>
            </w:pPr>
          </w:p>
        </w:tc>
        <w:tc>
          <w:tcPr>
            <w:tcW w:w="1139" w:type="dxa"/>
          </w:tcPr>
          <w:p>
            <w:pPr>
              <w:spacing w:line="200" w:lineRule="exact"/>
              <w:rPr>
                <w:sz w:val="20"/>
                <w:szCs w:val="20"/>
              </w:rPr>
            </w:pPr>
          </w:p>
        </w:tc>
        <w:tc>
          <w:tcPr>
            <w:tcW w:w="951" w:type="dxa"/>
          </w:tcPr>
          <w:p>
            <w:pPr>
              <w:spacing w:line="200" w:lineRule="exact"/>
              <w:rPr>
                <w:sz w:val="20"/>
                <w:szCs w:val="20"/>
              </w:rPr>
            </w:pPr>
          </w:p>
        </w:tc>
        <w:tc>
          <w:tcPr>
            <w:tcW w:w="1442" w:type="dxa"/>
          </w:tcPr>
          <w:p>
            <w:pPr>
              <w:spacing w:line="200" w:lineRule="exact"/>
              <w:rPr>
                <w:sz w:val="20"/>
                <w:szCs w:val="20"/>
              </w:rPr>
            </w:pPr>
          </w:p>
        </w:tc>
        <w:tc>
          <w:tcPr>
            <w:tcW w:w="681" w:type="dxa"/>
          </w:tcPr>
          <w:p>
            <w:pPr>
              <w:spacing w:line="200" w:lineRule="exact"/>
              <w:rPr>
                <w:sz w:val="20"/>
                <w:szCs w:val="20"/>
              </w:rPr>
            </w:pPr>
          </w:p>
        </w:tc>
        <w:tc>
          <w:tcPr>
            <w:tcW w:w="730" w:type="dxa"/>
          </w:tcPr>
          <w:p>
            <w:pPr>
              <w:spacing w:line="200" w:lineRule="exact"/>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20" w:type="dxa"/>
          </w:tcPr>
          <w:p>
            <w:pPr>
              <w:spacing w:line="200" w:lineRule="exact"/>
              <w:rPr>
                <w:sz w:val="20"/>
                <w:szCs w:val="20"/>
              </w:rPr>
            </w:pPr>
          </w:p>
        </w:tc>
        <w:tc>
          <w:tcPr>
            <w:tcW w:w="1281" w:type="dxa"/>
          </w:tcPr>
          <w:p>
            <w:pPr>
              <w:spacing w:line="200" w:lineRule="exact"/>
              <w:rPr>
                <w:sz w:val="20"/>
                <w:szCs w:val="20"/>
              </w:rPr>
            </w:pPr>
          </w:p>
        </w:tc>
        <w:tc>
          <w:tcPr>
            <w:tcW w:w="751" w:type="dxa"/>
          </w:tcPr>
          <w:p>
            <w:pPr>
              <w:spacing w:line="200" w:lineRule="exact"/>
              <w:rPr>
                <w:sz w:val="20"/>
                <w:szCs w:val="20"/>
              </w:rPr>
            </w:pPr>
          </w:p>
        </w:tc>
        <w:tc>
          <w:tcPr>
            <w:tcW w:w="854" w:type="dxa"/>
          </w:tcPr>
          <w:p>
            <w:pPr>
              <w:spacing w:line="200" w:lineRule="exact"/>
              <w:rPr>
                <w:sz w:val="20"/>
                <w:szCs w:val="20"/>
              </w:rPr>
            </w:pPr>
          </w:p>
        </w:tc>
        <w:tc>
          <w:tcPr>
            <w:tcW w:w="1140" w:type="dxa"/>
          </w:tcPr>
          <w:p>
            <w:pPr>
              <w:spacing w:line="200" w:lineRule="exact"/>
              <w:rPr>
                <w:sz w:val="20"/>
                <w:szCs w:val="20"/>
              </w:rPr>
            </w:pPr>
          </w:p>
        </w:tc>
        <w:tc>
          <w:tcPr>
            <w:tcW w:w="1139" w:type="dxa"/>
          </w:tcPr>
          <w:p>
            <w:pPr>
              <w:spacing w:line="200" w:lineRule="exact"/>
              <w:rPr>
                <w:sz w:val="20"/>
                <w:szCs w:val="20"/>
              </w:rPr>
            </w:pPr>
          </w:p>
        </w:tc>
        <w:tc>
          <w:tcPr>
            <w:tcW w:w="951" w:type="dxa"/>
          </w:tcPr>
          <w:p>
            <w:pPr>
              <w:spacing w:line="200" w:lineRule="exact"/>
              <w:rPr>
                <w:sz w:val="20"/>
                <w:szCs w:val="20"/>
              </w:rPr>
            </w:pPr>
          </w:p>
        </w:tc>
        <w:tc>
          <w:tcPr>
            <w:tcW w:w="1442" w:type="dxa"/>
          </w:tcPr>
          <w:p>
            <w:pPr>
              <w:spacing w:line="200" w:lineRule="exact"/>
              <w:rPr>
                <w:sz w:val="20"/>
                <w:szCs w:val="20"/>
              </w:rPr>
            </w:pPr>
          </w:p>
        </w:tc>
        <w:tc>
          <w:tcPr>
            <w:tcW w:w="681" w:type="dxa"/>
          </w:tcPr>
          <w:p>
            <w:pPr>
              <w:spacing w:line="200" w:lineRule="exact"/>
              <w:rPr>
                <w:sz w:val="20"/>
                <w:szCs w:val="20"/>
              </w:rPr>
            </w:pPr>
          </w:p>
        </w:tc>
        <w:tc>
          <w:tcPr>
            <w:tcW w:w="730" w:type="dxa"/>
          </w:tcPr>
          <w:p>
            <w:pPr>
              <w:spacing w:line="200" w:lineRule="exact"/>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20" w:type="dxa"/>
          </w:tcPr>
          <w:p>
            <w:pPr>
              <w:spacing w:line="200" w:lineRule="exact"/>
              <w:rPr>
                <w:sz w:val="20"/>
                <w:szCs w:val="20"/>
              </w:rPr>
            </w:pPr>
          </w:p>
        </w:tc>
        <w:tc>
          <w:tcPr>
            <w:tcW w:w="1281" w:type="dxa"/>
          </w:tcPr>
          <w:p>
            <w:pPr>
              <w:spacing w:line="200" w:lineRule="exact"/>
              <w:rPr>
                <w:sz w:val="20"/>
                <w:szCs w:val="20"/>
              </w:rPr>
            </w:pPr>
          </w:p>
        </w:tc>
        <w:tc>
          <w:tcPr>
            <w:tcW w:w="751" w:type="dxa"/>
          </w:tcPr>
          <w:p>
            <w:pPr>
              <w:spacing w:line="200" w:lineRule="exact"/>
              <w:rPr>
                <w:sz w:val="20"/>
                <w:szCs w:val="20"/>
              </w:rPr>
            </w:pPr>
          </w:p>
        </w:tc>
        <w:tc>
          <w:tcPr>
            <w:tcW w:w="854" w:type="dxa"/>
          </w:tcPr>
          <w:p>
            <w:pPr>
              <w:spacing w:line="200" w:lineRule="exact"/>
              <w:rPr>
                <w:sz w:val="20"/>
                <w:szCs w:val="20"/>
              </w:rPr>
            </w:pPr>
          </w:p>
        </w:tc>
        <w:tc>
          <w:tcPr>
            <w:tcW w:w="1140" w:type="dxa"/>
          </w:tcPr>
          <w:p>
            <w:pPr>
              <w:spacing w:line="200" w:lineRule="exact"/>
              <w:rPr>
                <w:sz w:val="20"/>
                <w:szCs w:val="20"/>
              </w:rPr>
            </w:pPr>
          </w:p>
        </w:tc>
        <w:tc>
          <w:tcPr>
            <w:tcW w:w="1139" w:type="dxa"/>
          </w:tcPr>
          <w:p>
            <w:pPr>
              <w:spacing w:line="200" w:lineRule="exact"/>
              <w:rPr>
                <w:sz w:val="20"/>
                <w:szCs w:val="20"/>
              </w:rPr>
            </w:pPr>
          </w:p>
        </w:tc>
        <w:tc>
          <w:tcPr>
            <w:tcW w:w="951" w:type="dxa"/>
          </w:tcPr>
          <w:p>
            <w:pPr>
              <w:spacing w:line="200" w:lineRule="exact"/>
              <w:rPr>
                <w:sz w:val="20"/>
                <w:szCs w:val="20"/>
              </w:rPr>
            </w:pPr>
          </w:p>
        </w:tc>
        <w:tc>
          <w:tcPr>
            <w:tcW w:w="1442" w:type="dxa"/>
          </w:tcPr>
          <w:p>
            <w:pPr>
              <w:spacing w:line="200" w:lineRule="exact"/>
              <w:rPr>
                <w:sz w:val="20"/>
                <w:szCs w:val="20"/>
              </w:rPr>
            </w:pPr>
          </w:p>
        </w:tc>
        <w:tc>
          <w:tcPr>
            <w:tcW w:w="681" w:type="dxa"/>
          </w:tcPr>
          <w:p>
            <w:pPr>
              <w:spacing w:line="200" w:lineRule="exact"/>
              <w:rPr>
                <w:sz w:val="20"/>
                <w:szCs w:val="20"/>
              </w:rPr>
            </w:pPr>
          </w:p>
        </w:tc>
        <w:tc>
          <w:tcPr>
            <w:tcW w:w="730" w:type="dxa"/>
          </w:tcPr>
          <w:p>
            <w:pPr>
              <w:spacing w:line="200" w:lineRule="exact"/>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20" w:type="dxa"/>
          </w:tcPr>
          <w:p>
            <w:pPr>
              <w:spacing w:line="200" w:lineRule="exact"/>
              <w:rPr>
                <w:sz w:val="20"/>
                <w:szCs w:val="20"/>
              </w:rPr>
            </w:pPr>
          </w:p>
        </w:tc>
        <w:tc>
          <w:tcPr>
            <w:tcW w:w="1281" w:type="dxa"/>
          </w:tcPr>
          <w:p>
            <w:pPr>
              <w:spacing w:line="200" w:lineRule="exact"/>
              <w:rPr>
                <w:sz w:val="20"/>
                <w:szCs w:val="20"/>
              </w:rPr>
            </w:pPr>
          </w:p>
        </w:tc>
        <w:tc>
          <w:tcPr>
            <w:tcW w:w="751" w:type="dxa"/>
          </w:tcPr>
          <w:p>
            <w:pPr>
              <w:spacing w:line="200" w:lineRule="exact"/>
              <w:rPr>
                <w:sz w:val="20"/>
                <w:szCs w:val="20"/>
              </w:rPr>
            </w:pPr>
          </w:p>
        </w:tc>
        <w:tc>
          <w:tcPr>
            <w:tcW w:w="854" w:type="dxa"/>
          </w:tcPr>
          <w:p>
            <w:pPr>
              <w:spacing w:line="200" w:lineRule="exact"/>
              <w:rPr>
                <w:sz w:val="20"/>
                <w:szCs w:val="20"/>
              </w:rPr>
            </w:pPr>
          </w:p>
        </w:tc>
        <w:tc>
          <w:tcPr>
            <w:tcW w:w="1140" w:type="dxa"/>
          </w:tcPr>
          <w:p>
            <w:pPr>
              <w:spacing w:line="200" w:lineRule="exact"/>
              <w:rPr>
                <w:sz w:val="20"/>
                <w:szCs w:val="20"/>
              </w:rPr>
            </w:pPr>
          </w:p>
        </w:tc>
        <w:tc>
          <w:tcPr>
            <w:tcW w:w="1139" w:type="dxa"/>
          </w:tcPr>
          <w:p>
            <w:pPr>
              <w:spacing w:line="200" w:lineRule="exact"/>
              <w:rPr>
                <w:sz w:val="20"/>
                <w:szCs w:val="20"/>
              </w:rPr>
            </w:pPr>
          </w:p>
        </w:tc>
        <w:tc>
          <w:tcPr>
            <w:tcW w:w="951" w:type="dxa"/>
          </w:tcPr>
          <w:p>
            <w:pPr>
              <w:spacing w:line="200" w:lineRule="exact"/>
              <w:rPr>
                <w:sz w:val="20"/>
                <w:szCs w:val="20"/>
              </w:rPr>
            </w:pPr>
          </w:p>
        </w:tc>
        <w:tc>
          <w:tcPr>
            <w:tcW w:w="1442" w:type="dxa"/>
          </w:tcPr>
          <w:p>
            <w:pPr>
              <w:spacing w:line="200" w:lineRule="exact"/>
              <w:rPr>
                <w:sz w:val="20"/>
                <w:szCs w:val="20"/>
              </w:rPr>
            </w:pPr>
          </w:p>
        </w:tc>
        <w:tc>
          <w:tcPr>
            <w:tcW w:w="681" w:type="dxa"/>
          </w:tcPr>
          <w:p>
            <w:pPr>
              <w:spacing w:line="200" w:lineRule="exact"/>
              <w:rPr>
                <w:sz w:val="20"/>
                <w:szCs w:val="20"/>
              </w:rPr>
            </w:pPr>
          </w:p>
        </w:tc>
        <w:tc>
          <w:tcPr>
            <w:tcW w:w="730" w:type="dxa"/>
          </w:tcPr>
          <w:p>
            <w:pPr>
              <w:spacing w:line="200" w:lineRule="exact"/>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20" w:type="dxa"/>
          </w:tcPr>
          <w:p>
            <w:pPr>
              <w:spacing w:line="200" w:lineRule="exact"/>
              <w:rPr>
                <w:sz w:val="20"/>
                <w:szCs w:val="20"/>
              </w:rPr>
            </w:pPr>
          </w:p>
        </w:tc>
        <w:tc>
          <w:tcPr>
            <w:tcW w:w="1281" w:type="dxa"/>
          </w:tcPr>
          <w:p>
            <w:pPr>
              <w:spacing w:line="200" w:lineRule="exact"/>
              <w:rPr>
                <w:sz w:val="20"/>
                <w:szCs w:val="20"/>
              </w:rPr>
            </w:pPr>
          </w:p>
        </w:tc>
        <w:tc>
          <w:tcPr>
            <w:tcW w:w="751" w:type="dxa"/>
          </w:tcPr>
          <w:p>
            <w:pPr>
              <w:spacing w:line="200" w:lineRule="exact"/>
              <w:rPr>
                <w:sz w:val="20"/>
                <w:szCs w:val="20"/>
              </w:rPr>
            </w:pPr>
          </w:p>
        </w:tc>
        <w:tc>
          <w:tcPr>
            <w:tcW w:w="854" w:type="dxa"/>
          </w:tcPr>
          <w:p>
            <w:pPr>
              <w:spacing w:line="200" w:lineRule="exact"/>
              <w:rPr>
                <w:sz w:val="20"/>
                <w:szCs w:val="20"/>
              </w:rPr>
            </w:pPr>
          </w:p>
        </w:tc>
        <w:tc>
          <w:tcPr>
            <w:tcW w:w="1140" w:type="dxa"/>
          </w:tcPr>
          <w:p>
            <w:pPr>
              <w:spacing w:line="200" w:lineRule="exact"/>
              <w:rPr>
                <w:sz w:val="20"/>
                <w:szCs w:val="20"/>
              </w:rPr>
            </w:pPr>
          </w:p>
        </w:tc>
        <w:tc>
          <w:tcPr>
            <w:tcW w:w="1139" w:type="dxa"/>
          </w:tcPr>
          <w:p>
            <w:pPr>
              <w:spacing w:line="200" w:lineRule="exact"/>
              <w:rPr>
                <w:sz w:val="20"/>
                <w:szCs w:val="20"/>
              </w:rPr>
            </w:pPr>
          </w:p>
        </w:tc>
        <w:tc>
          <w:tcPr>
            <w:tcW w:w="951" w:type="dxa"/>
          </w:tcPr>
          <w:p>
            <w:pPr>
              <w:spacing w:line="200" w:lineRule="exact"/>
              <w:rPr>
                <w:sz w:val="20"/>
                <w:szCs w:val="20"/>
              </w:rPr>
            </w:pPr>
          </w:p>
        </w:tc>
        <w:tc>
          <w:tcPr>
            <w:tcW w:w="1442" w:type="dxa"/>
          </w:tcPr>
          <w:p>
            <w:pPr>
              <w:spacing w:line="200" w:lineRule="exact"/>
              <w:rPr>
                <w:sz w:val="20"/>
                <w:szCs w:val="20"/>
              </w:rPr>
            </w:pPr>
          </w:p>
        </w:tc>
        <w:tc>
          <w:tcPr>
            <w:tcW w:w="681" w:type="dxa"/>
          </w:tcPr>
          <w:p>
            <w:pPr>
              <w:spacing w:line="200" w:lineRule="exact"/>
              <w:rPr>
                <w:sz w:val="20"/>
                <w:szCs w:val="20"/>
              </w:rPr>
            </w:pPr>
          </w:p>
        </w:tc>
        <w:tc>
          <w:tcPr>
            <w:tcW w:w="730" w:type="dxa"/>
          </w:tcPr>
          <w:p>
            <w:pPr>
              <w:spacing w:line="200" w:lineRule="exact"/>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820" w:type="dxa"/>
          </w:tcPr>
          <w:p>
            <w:pPr>
              <w:spacing w:line="200" w:lineRule="exact"/>
              <w:rPr>
                <w:sz w:val="20"/>
                <w:szCs w:val="20"/>
              </w:rPr>
            </w:pPr>
          </w:p>
        </w:tc>
        <w:tc>
          <w:tcPr>
            <w:tcW w:w="1281" w:type="dxa"/>
          </w:tcPr>
          <w:p>
            <w:pPr>
              <w:spacing w:line="200" w:lineRule="exact"/>
              <w:rPr>
                <w:sz w:val="20"/>
                <w:szCs w:val="20"/>
              </w:rPr>
            </w:pPr>
          </w:p>
        </w:tc>
        <w:tc>
          <w:tcPr>
            <w:tcW w:w="751" w:type="dxa"/>
          </w:tcPr>
          <w:p>
            <w:pPr>
              <w:spacing w:line="200" w:lineRule="exact"/>
              <w:rPr>
                <w:sz w:val="20"/>
                <w:szCs w:val="20"/>
              </w:rPr>
            </w:pPr>
          </w:p>
        </w:tc>
        <w:tc>
          <w:tcPr>
            <w:tcW w:w="854" w:type="dxa"/>
          </w:tcPr>
          <w:p>
            <w:pPr>
              <w:spacing w:line="200" w:lineRule="exact"/>
              <w:rPr>
                <w:sz w:val="20"/>
                <w:szCs w:val="20"/>
              </w:rPr>
            </w:pPr>
          </w:p>
        </w:tc>
        <w:tc>
          <w:tcPr>
            <w:tcW w:w="1140" w:type="dxa"/>
          </w:tcPr>
          <w:p>
            <w:pPr>
              <w:spacing w:line="200" w:lineRule="exact"/>
              <w:rPr>
                <w:sz w:val="20"/>
                <w:szCs w:val="20"/>
              </w:rPr>
            </w:pPr>
          </w:p>
        </w:tc>
        <w:tc>
          <w:tcPr>
            <w:tcW w:w="1139" w:type="dxa"/>
          </w:tcPr>
          <w:p>
            <w:pPr>
              <w:spacing w:line="200" w:lineRule="exact"/>
              <w:rPr>
                <w:sz w:val="20"/>
                <w:szCs w:val="20"/>
              </w:rPr>
            </w:pPr>
          </w:p>
        </w:tc>
        <w:tc>
          <w:tcPr>
            <w:tcW w:w="951" w:type="dxa"/>
          </w:tcPr>
          <w:p>
            <w:pPr>
              <w:spacing w:line="200" w:lineRule="exact"/>
              <w:rPr>
                <w:sz w:val="20"/>
                <w:szCs w:val="20"/>
              </w:rPr>
            </w:pPr>
          </w:p>
        </w:tc>
        <w:tc>
          <w:tcPr>
            <w:tcW w:w="1442" w:type="dxa"/>
          </w:tcPr>
          <w:p>
            <w:pPr>
              <w:spacing w:line="200" w:lineRule="exact"/>
              <w:rPr>
                <w:sz w:val="20"/>
                <w:szCs w:val="20"/>
              </w:rPr>
            </w:pPr>
          </w:p>
        </w:tc>
        <w:tc>
          <w:tcPr>
            <w:tcW w:w="681" w:type="dxa"/>
          </w:tcPr>
          <w:p>
            <w:pPr>
              <w:spacing w:line="200" w:lineRule="exact"/>
              <w:rPr>
                <w:sz w:val="20"/>
                <w:szCs w:val="20"/>
              </w:rPr>
            </w:pPr>
          </w:p>
        </w:tc>
        <w:tc>
          <w:tcPr>
            <w:tcW w:w="730" w:type="dxa"/>
          </w:tcPr>
          <w:p>
            <w:pPr>
              <w:spacing w:line="200" w:lineRule="exact"/>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820" w:type="dxa"/>
          </w:tcPr>
          <w:p>
            <w:pPr>
              <w:spacing w:line="200" w:lineRule="exact"/>
              <w:rPr>
                <w:sz w:val="20"/>
                <w:szCs w:val="20"/>
              </w:rPr>
            </w:pPr>
          </w:p>
        </w:tc>
        <w:tc>
          <w:tcPr>
            <w:tcW w:w="1281" w:type="dxa"/>
          </w:tcPr>
          <w:p>
            <w:pPr>
              <w:spacing w:line="200" w:lineRule="exact"/>
              <w:rPr>
                <w:sz w:val="20"/>
                <w:szCs w:val="20"/>
              </w:rPr>
            </w:pPr>
          </w:p>
        </w:tc>
        <w:tc>
          <w:tcPr>
            <w:tcW w:w="751" w:type="dxa"/>
          </w:tcPr>
          <w:p>
            <w:pPr>
              <w:spacing w:line="200" w:lineRule="exact"/>
              <w:rPr>
                <w:sz w:val="20"/>
                <w:szCs w:val="20"/>
              </w:rPr>
            </w:pPr>
          </w:p>
        </w:tc>
        <w:tc>
          <w:tcPr>
            <w:tcW w:w="854" w:type="dxa"/>
          </w:tcPr>
          <w:p>
            <w:pPr>
              <w:spacing w:line="200" w:lineRule="exact"/>
              <w:rPr>
                <w:sz w:val="20"/>
                <w:szCs w:val="20"/>
              </w:rPr>
            </w:pPr>
          </w:p>
        </w:tc>
        <w:tc>
          <w:tcPr>
            <w:tcW w:w="1140" w:type="dxa"/>
          </w:tcPr>
          <w:p>
            <w:pPr>
              <w:spacing w:line="200" w:lineRule="exact"/>
              <w:rPr>
                <w:sz w:val="20"/>
                <w:szCs w:val="20"/>
              </w:rPr>
            </w:pPr>
          </w:p>
        </w:tc>
        <w:tc>
          <w:tcPr>
            <w:tcW w:w="1139" w:type="dxa"/>
          </w:tcPr>
          <w:p>
            <w:pPr>
              <w:spacing w:line="200" w:lineRule="exact"/>
              <w:rPr>
                <w:sz w:val="20"/>
                <w:szCs w:val="20"/>
              </w:rPr>
            </w:pPr>
          </w:p>
        </w:tc>
        <w:tc>
          <w:tcPr>
            <w:tcW w:w="951" w:type="dxa"/>
          </w:tcPr>
          <w:p>
            <w:pPr>
              <w:spacing w:line="200" w:lineRule="exact"/>
              <w:rPr>
                <w:sz w:val="20"/>
                <w:szCs w:val="20"/>
              </w:rPr>
            </w:pPr>
          </w:p>
        </w:tc>
        <w:tc>
          <w:tcPr>
            <w:tcW w:w="1442" w:type="dxa"/>
          </w:tcPr>
          <w:p>
            <w:pPr>
              <w:spacing w:line="200" w:lineRule="exact"/>
              <w:rPr>
                <w:sz w:val="20"/>
                <w:szCs w:val="20"/>
              </w:rPr>
            </w:pPr>
          </w:p>
        </w:tc>
        <w:tc>
          <w:tcPr>
            <w:tcW w:w="681" w:type="dxa"/>
          </w:tcPr>
          <w:p>
            <w:pPr>
              <w:spacing w:line="200" w:lineRule="exact"/>
              <w:rPr>
                <w:sz w:val="20"/>
                <w:szCs w:val="20"/>
              </w:rPr>
            </w:pPr>
          </w:p>
        </w:tc>
        <w:tc>
          <w:tcPr>
            <w:tcW w:w="730" w:type="dxa"/>
          </w:tcPr>
          <w:p>
            <w:pPr>
              <w:spacing w:line="200" w:lineRule="exact"/>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20" w:type="dxa"/>
          </w:tcPr>
          <w:p>
            <w:pPr>
              <w:spacing w:line="200" w:lineRule="exact"/>
              <w:rPr>
                <w:sz w:val="20"/>
                <w:szCs w:val="20"/>
              </w:rPr>
            </w:pPr>
          </w:p>
        </w:tc>
        <w:tc>
          <w:tcPr>
            <w:tcW w:w="1281" w:type="dxa"/>
          </w:tcPr>
          <w:p>
            <w:pPr>
              <w:spacing w:line="200" w:lineRule="exact"/>
              <w:rPr>
                <w:sz w:val="20"/>
                <w:szCs w:val="20"/>
              </w:rPr>
            </w:pPr>
          </w:p>
        </w:tc>
        <w:tc>
          <w:tcPr>
            <w:tcW w:w="751" w:type="dxa"/>
          </w:tcPr>
          <w:p>
            <w:pPr>
              <w:spacing w:line="200" w:lineRule="exact"/>
              <w:rPr>
                <w:sz w:val="20"/>
                <w:szCs w:val="20"/>
              </w:rPr>
            </w:pPr>
          </w:p>
        </w:tc>
        <w:tc>
          <w:tcPr>
            <w:tcW w:w="854" w:type="dxa"/>
          </w:tcPr>
          <w:p>
            <w:pPr>
              <w:spacing w:line="200" w:lineRule="exact"/>
              <w:rPr>
                <w:sz w:val="20"/>
                <w:szCs w:val="20"/>
              </w:rPr>
            </w:pPr>
          </w:p>
        </w:tc>
        <w:tc>
          <w:tcPr>
            <w:tcW w:w="1140" w:type="dxa"/>
          </w:tcPr>
          <w:p>
            <w:pPr>
              <w:spacing w:line="200" w:lineRule="exact"/>
              <w:rPr>
                <w:sz w:val="20"/>
                <w:szCs w:val="20"/>
              </w:rPr>
            </w:pPr>
          </w:p>
        </w:tc>
        <w:tc>
          <w:tcPr>
            <w:tcW w:w="1139" w:type="dxa"/>
          </w:tcPr>
          <w:p>
            <w:pPr>
              <w:spacing w:line="200" w:lineRule="exact"/>
              <w:rPr>
                <w:sz w:val="20"/>
                <w:szCs w:val="20"/>
              </w:rPr>
            </w:pPr>
          </w:p>
        </w:tc>
        <w:tc>
          <w:tcPr>
            <w:tcW w:w="951" w:type="dxa"/>
          </w:tcPr>
          <w:p>
            <w:pPr>
              <w:spacing w:line="200" w:lineRule="exact"/>
              <w:rPr>
                <w:sz w:val="20"/>
                <w:szCs w:val="20"/>
              </w:rPr>
            </w:pPr>
          </w:p>
        </w:tc>
        <w:tc>
          <w:tcPr>
            <w:tcW w:w="1442" w:type="dxa"/>
          </w:tcPr>
          <w:p>
            <w:pPr>
              <w:spacing w:line="200" w:lineRule="exact"/>
              <w:rPr>
                <w:sz w:val="20"/>
                <w:szCs w:val="20"/>
              </w:rPr>
            </w:pPr>
          </w:p>
        </w:tc>
        <w:tc>
          <w:tcPr>
            <w:tcW w:w="681" w:type="dxa"/>
          </w:tcPr>
          <w:p>
            <w:pPr>
              <w:spacing w:line="200" w:lineRule="exact"/>
              <w:rPr>
                <w:sz w:val="20"/>
                <w:szCs w:val="20"/>
              </w:rPr>
            </w:pPr>
          </w:p>
        </w:tc>
        <w:tc>
          <w:tcPr>
            <w:tcW w:w="730" w:type="dxa"/>
          </w:tcPr>
          <w:p>
            <w:pPr>
              <w:spacing w:line="200" w:lineRule="exact"/>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0" w:type="dxa"/>
          </w:tcPr>
          <w:p>
            <w:pPr>
              <w:spacing w:line="200" w:lineRule="exact"/>
              <w:rPr>
                <w:sz w:val="20"/>
                <w:szCs w:val="20"/>
              </w:rPr>
            </w:pPr>
          </w:p>
        </w:tc>
        <w:tc>
          <w:tcPr>
            <w:tcW w:w="1281" w:type="dxa"/>
          </w:tcPr>
          <w:p>
            <w:pPr>
              <w:spacing w:line="200" w:lineRule="exact"/>
              <w:rPr>
                <w:sz w:val="20"/>
                <w:szCs w:val="20"/>
              </w:rPr>
            </w:pPr>
          </w:p>
        </w:tc>
        <w:tc>
          <w:tcPr>
            <w:tcW w:w="751" w:type="dxa"/>
          </w:tcPr>
          <w:p>
            <w:pPr>
              <w:spacing w:line="200" w:lineRule="exact"/>
              <w:rPr>
                <w:sz w:val="20"/>
                <w:szCs w:val="20"/>
              </w:rPr>
            </w:pPr>
          </w:p>
        </w:tc>
        <w:tc>
          <w:tcPr>
            <w:tcW w:w="854" w:type="dxa"/>
          </w:tcPr>
          <w:p>
            <w:pPr>
              <w:spacing w:line="200" w:lineRule="exact"/>
              <w:rPr>
                <w:sz w:val="20"/>
                <w:szCs w:val="20"/>
              </w:rPr>
            </w:pPr>
          </w:p>
        </w:tc>
        <w:tc>
          <w:tcPr>
            <w:tcW w:w="1140" w:type="dxa"/>
          </w:tcPr>
          <w:p>
            <w:pPr>
              <w:spacing w:line="200" w:lineRule="exact"/>
              <w:rPr>
                <w:sz w:val="20"/>
                <w:szCs w:val="20"/>
              </w:rPr>
            </w:pPr>
          </w:p>
        </w:tc>
        <w:tc>
          <w:tcPr>
            <w:tcW w:w="1139" w:type="dxa"/>
          </w:tcPr>
          <w:p>
            <w:pPr>
              <w:spacing w:line="200" w:lineRule="exact"/>
              <w:rPr>
                <w:sz w:val="20"/>
                <w:szCs w:val="20"/>
              </w:rPr>
            </w:pPr>
          </w:p>
        </w:tc>
        <w:tc>
          <w:tcPr>
            <w:tcW w:w="951" w:type="dxa"/>
          </w:tcPr>
          <w:p>
            <w:pPr>
              <w:spacing w:line="200" w:lineRule="exact"/>
              <w:rPr>
                <w:sz w:val="20"/>
                <w:szCs w:val="20"/>
              </w:rPr>
            </w:pPr>
          </w:p>
        </w:tc>
        <w:tc>
          <w:tcPr>
            <w:tcW w:w="1442" w:type="dxa"/>
          </w:tcPr>
          <w:p>
            <w:pPr>
              <w:spacing w:line="200" w:lineRule="exact"/>
              <w:rPr>
                <w:sz w:val="20"/>
                <w:szCs w:val="20"/>
              </w:rPr>
            </w:pPr>
          </w:p>
        </w:tc>
        <w:tc>
          <w:tcPr>
            <w:tcW w:w="681" w:type="dxa"/>
          </w:tcPr>
          <w:p>
            <w:pPr>
              <w:spacing w:line="200" w:lineRule="exact"/>
              <w:rPr>
                <w:sz w:val="20"/>
                <w:szCs w:val="20"/>
              </w:rPr>
            </w:pPr>
          </w:p>
        </w:tc>
        <w:tc>
          <w:tcPr>
            <w:tcW w:w="730" w:type="dxa"/>
          </w:tcPr>
          <w:p>
            <w:pPr>
              <w:spacing w:line="200" w:lineRule="exact"/>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820" w:type="dxa"/>
          </w:tcPr>
          <w:p>
            <w:pPr>
              <w:spacing w:line="200" w:lineRule="exact"/>
              <w:rPr>
                <w:sz w:val="20"/>
                <w:szCs w:val="20"/>
              </w:rPr>
            </w:pPr>
          </w:p>
        </w:tc>
        <w:tc>
          <w:tcPr>
            <w:tcW w:w="1281" w:type="dxa"/>
          </w:tcPr>
          <w:p>
            <w:pPr>
              <w:spacing w:line="200" w:lineRule="exact"/>
              <w:rPr>
                <w:sz w:val="20"/>
                <w:szCs w:val="20"/>
              </w:rPr>
            </w:pPr>
          </w:p>
        </w:tc>
        <w:tc>
          <w:tcPr>
            <w:tcW w:w="751" w:type="dxa"/>
          </w:tcPr>
          <w:p>
            <w:pPr>
              <w:spacing w:line="200" w:lineRule="exact"/>
              <w:rPr>
                <w:sz w:val="20"/>
                <w:szCs w:val="20"/>
              </w:rPr>
            </w:pPr>
          </w:p>
        </w:tc>
        <w:tc>
          <w:tcPr>
            <w:tcW w:w="854" w:type="dxa"/>
          </w:tcPr>
          <w:p>
            <w:pPr>
              <w:spacing w:line="200" w:lineRule="exact"/>
              <w:rPr>
                <w:sz w:val="20"/>
                <w:szCs w:val="20"/>
              </w:rPr>
            </w:pPr>
          </w:p>
        </w:tc>
        <w:tc>
          <w:tcPr>
            <w:tcW w:w="1140" w:type="dxa"/>
          </w:tcPr>
          <w:p>
            <w:pPr>
              <w:spacing w:line="200" w:lineRule="exact"/>
              <w:rPr>
                <w:sz w:val="20"/>
                <w:szCs w:val="20"/>
              </w:rPr>
            </w:pPr>
          </w:p>
        </w:tc>
        <w:tc>
          <w:tcPr>
            <w:tcW w:w="1139" w:type="dxa"/>
          </w:tcPr>
          <w:p>
            <w:pPr>
              <w:spacing w:line="200" w:lineRule="exact"/>
              <w:rPr>
                <w:sz w:val="20"/>
                <w:szCs w:val="20"/>
              </w:rPr>
            </w:pPr>
          </w:p>
        </w:tc>
        <w:tc>
          <w:tcPr>
            <w:tcW w:w="951" w:type="dxa"/>
          </w:tcPr>
          <w:p>
            <w:pPr>
              <w:spacing w:line="200" w:lineRule="exact"/>
              <w:rPr>
                <w:sz w:val="20"/>
                <w:szCs w:val="20"/>
              </w:rPr>
            </w:pPr>
          </w:p>
        </w:tc>
        <w:tc>
          <w:tcPr>
            <w:tcW w:w="1442" w:type="dxa"/>
          </w:tcPr>
          <w:p>
            <w:pPr>
              <w:spacing w:line="200" w:lineRule="exact"/>
              <w:rPr>
                <w:sz w:val="20"/>
                <w:szCs w:val="20"/>
              </w:rPr>
            </w:pPr>
          </w:p>
        </w:tc>
        <w:tc>
          <w:tcPr>
            <w:tcW w:w="681" w:type="dxa"/>
          </w:tcPr>
          <w:p>
            <w:pPr>
              <w:spacing w:line="200" w:lineRule="exact"/>
              <w:rPr>
                <w:sz w:val="20"/>
                <w:szCs w:val="20"/>
              </w:rPr>
            </w:pPr>
          </w:p>
        </w:tc>
        <w:tc>
          <w:tcPr>
            <w:tcW w:w="730" w:type="dxa"/>
          </w:tcPr>
          <w:p>
            <w:pPr>
              <w:spacing w:line="200" w:lineRule="exact"/>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20" w:type="dxa"/>
          </w:tcPr>
          <w:p>
            <w:pPr>
              <w:spacing w:line="200" w:lineRule="exact"/>
              <w:rPr>
                <w:sz w:val="20"/>
                <w:szCs w:val="20"/>
              </w:rPr>
            </w:pPr>
          </w:p>
        </w:tc>
        <w:tc>
          <w:tcPr>
            <w:tcW w:w="1281" w:type="dxa"/>
          </w:tcPr>
          <w:p>
            <w:pPr>
              <w:spacing w:line="200" w:lineRule="exact"/>
              <w:rPr>
                <w:sz w:val="20"/>
                <w:szCs w:val="20"/>
              </w:rPr>
            </w:pPr>
          </w:p>
        </w:tc>
        <w:tc>
          <w:tcPr>
            <w:tcW w:w="751" w:type="dxa"/>
          </w:tcPr>
          <w:p>
            <w:pPr>
              <w:spacing w:line="200" w:lineRule="exact"/>
              <w:rPr>
                <w:sz w:val="20"/>
                <w:szCs w:val="20"/>
              </w:rPr>
            </w:pPr>
          </w:p>
        </w:tc>
        <w:tc>
          <w:tcPr>
            <w:tcW w:w="854" w:type="dxa"/>
          </w:tcPr>
          <w:p>
            <w:pPr>
              <w:spacing w:line="200" w:lineRule="exact"/>
              <w:rPr>
                <w:sz w:val="20"/>
                <w:szCs w:val="20"/>
              </w:rPr>
            </w:pPr>
          </w:p>
        </w:tc>
        <w:tc>
          <w:tcPr>
            <w:tcW w:w="1140" w:type="dxa"/>
          </w:tcPr>
          <w:p>
            <w:pPr>
              <w:spacing w:line="200" w:lineRule="exact"/>
              <w:rPr>
                <w:sz w:val="20"/>
                <w:szCs w:val="20"/>
              </w:rPr>
            </w:pPr>
          </w:p>
        </w:tc>
        <w:tc>
          <w:tcPr>
            <w:tcW w:w="1139" w:type="dxa"/>
          </w:tcPr>
          <w:p>
            <w:pPr>
              <w:spacing w:line="200" w:lineRule="exact"/>
              <w:rPr>
                <w:sz w:val="20"/>
                <w:szCs w:val="20"/>
              </w:rPr>
            </w:pPr>
          </w:p>
        </w:tc>
        <w:tc>
          <w:tcPr>
            <w:tcW w:w="951" w:type="dxa"/>
          </w:tcPr>
          <w:p>
            <w:pPr>
              <w:spacing w:line="200" w:lineRule="exact"/>
              <w:rPr>
                <w:sz w:val="20"/>
                <w:szCs w:val="20"/>
              </w:rPr>
            </w:pPr>
          </w:p>
        </w:tc>
        <w:tc>
          <w:tcPr>
            <w:tcW w:w="1442" w:type="dxa"/>
          </w:tcPr>
          <w:p>
            <w:pPr>
              <w:spacing w:line="200" w:lineRule="exact"/>
              <w:rPr>
                <w:sz w:val="20"/>
                <w:szCs w:val="20"/>
              </w:rPr>
            </w:pPr>
          </w:p>
        </w:tc>
        <w:tc>
          <w:tcPr>
            <w:tcW w:w="681" w:type="dxa"/>
          </w:tcPr>
          <w:p>
            <w:pPr>
              <w:spacing w:line="200" w:lineRule="exact"/>
              <w:rPr>
                <w:sz w:val="20"/>
                <w:szCs w:val="20"/>
              </w:rPr>
            </w:pPr>
          </w:p>
        </w:tc>
        <w:tc>
          <w:tcPr>
            <w:tcW w:w="730" w:type="dxa"/>
          </w:tcPr>
          <w:p>
            <w:pPr>
              <w:spacing w:line="200" w:lineRule="exact"/>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20" w:type="dxa"/>
          </w:tcPr>
          <w:p>
            <w:pPr>
              <w:spacing w:line="200" w:lineRule="exact"/>
              <w:rPr>
                <w:sz w:val="20"/>
                <w:szCs w:val="20"/>
              </w:rPr>
            </w:pPr>
          </w:p>
        </w:tc>
        <w:tc>
          <w:tcPr>
            <w:tcW w:w="1281" w:type="dxa"/>
          </w:tcPr>
          <w:p>
            <w:pPr>
              <w:spacing w:line="200" w:lineRule="exact"/>
              <w:rPr>
                <w:sz w:val="20"/>
                <w:szCs w:val="20"/>
              </w:rPr>
            </w:pPr>
          </w:p>
        </w:tc>
        <w:tc>
          <w:tcPr>
            <w:tcW w:w="751" w:type="dxa"/>
          </w:tcPr>
          <w:p>
            <w:pPr>
              <w:spacing w:line="200" w:lineRule="exact"/>
              <w:rPr>
                <w:sz w:val="20"/>
                <w:szCs w:val="20"/>
              </w:rPr>
            </w:pPr>
          </w:p>
        </w:tc>
        <w:tc>
          <w:tcPr>
            <w:tcW w:w="854" w:type="dxa"/>
          </w:tcPr>
          <w:p>
            <w:pPr>
              <w:spacing w:line="200" w:lineRule="exact"/>
              <w:rPr>
                <w:sz w:val="20"/>
                <w:szCs w:val="20"/>
              </w:rPr>
            </w:pPr>
          </w:p>
        </w:tc>
        <w:tc>
          <w:tcPr>
            <w:tcW w:w="1140" w:type="dxa"/>
          </w:tcPr>
          <w:p>
            <w:pPr>
              <w:spacing w:line="200" w:lineRule="exact"/>
              <w:rPr>
                <w:sz w:val="20"/>
                <w:szCs w:val="20"/>
              </w:rPr>
            </w:pPr>
          </w:p>
        </w:tc>
        <w:tc>
          <w:tcPr>
            <w:tcW w:w="1139" w:type="dxa"/>
          </w:tcPr>
          <w:p>
            <w:pPr>
              <w:spacing w:line="200" w:lineRule="exact"/>
              <w:rPr>
                <w:sz w:val="20"/>
                <w:szCs w:val="20"/>
              </w:rPr>
            </w:pPr>
          </w:p>
        </w:tc>
        <w:tc>
          <w:tcPr>
            <w:tcW w:w="951" w:type="dxa"/>
          </w:tcPr>
          <w:p>
            <w:pPr>
              <w:spacing w:line="200" w:lineRule="exact"/>
              <w:rPr>
                <w:sz w:val="20"/>
                <w:szCs w:val="20"/>
              </w:rPr>
            </w:pPr>
          </w:p>
        </w:tc>
        <w:tc>
          <w:tcPr>
            <w:tcW w:w="1442" w:type="dxa"/>
          </w:tcPr>
          <w:p>
            <w:pPr>
              <w:spacing w:line="200" w:lineRule="exact"/>
              <w:rPr>
                <w:sz w:val="20"/>
                <w:szCs w:val="20"/>
              </w:rPr>
            </w:pPr>
          </w:p>
        </w:tc>
        <w:tc>
          <w:tcPr>
            <w:tcW w:w="681" w:type="dxa"/>
          </w:tcPr>
          <w:p>
            <w:pPr>
              <w:spacing w:line="200" w:lineRule="exact"/>
              <w:rPr>
                <w:sz w:val="20"/>
                <w:szCs w:val="20"/>
              </w:rPr>
            </w:pPr>
          </w:p>
        </w:tc>
        <w:tc>
          <w:tcPr>
            <w:tcW w:w="730" w:type="dxa"/>
          </w:tcPr>
          <w:p>
            <w:pPr>
              <w:spacing w:line="200" w:lineRule="exact"/>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20" w:type="dxa"/>
          </w:tcPr>
          <w:p>
            <w:pPr>
              <w:spacing w:line="200" w:lineRule="exact"/>
              <w:rPr>
                <w:sz w:val="20"/>
                <w:szCs w:val="20"/>
              </w:rPr>
            </w:pPr>
          </w:p>
        </w:tc>
        <w:tc>
          <w:tcPr>
            <w:tcW w:w="1281" w:type="dxa"/>
          </w:tcPr>
          <w:p>
            <w:pPr>
              <w:spacing w:line="200" w:lineRule="exact"/>
              <w:rPr>
                <w:sz w:val="20"/>
                <w:szCs w:val="20"/>
              </w:rPr>
            </w:pPr>
          </w:p>
        </w:tc>
        <w:tc>
          <w:tcPr>
            <w:tcW w:w="751" w:type="dxa"/>
          </w:tcPr>
          <w:p>
            <w:pPr>
              <w:spacing w:line="200" w:lineRule="exact"/>
              <w:rPr>
                <w:sz w:val="20"/>
                <w:szCs w:val="20"/>
              </w:rPr>
            </w:pPr>
          </w:p>
        </w:tc>
        <w:tc>
          <w:tcPr>
            <w:tcW w:w="854" w:type="dxa"/>
          </w:tcPr>
          <w:p>
            <w:pPr>
              <w:spacing w:line="200" w:lineRule="exact"/>
              <w:rPr>
                <w:sz w:val="20"/>
                <w:szCs w:val="20"/>
              </w:rPr>
            </w:pPr>
          </w:p>
        </w:tc>
        <w:tc>
          <w:tcPr>
            <w:tcW w:w="1140" w:type="dxa"/>
          </w:tcPr>
          <w:p>
            <w:pPr>
              <w:spacing w:line="200" w:lineRule="exact"/>
              <w:rPr>
                <w:sz w:val="20"/>
                <w:szCs w:val="20"/>
              </w:rPr>
            </w:pPr>
          </w:p>
        </w:tc>
        <w:tc>
          <w:tcPr>
            <w:tcW w:w="1139" w:type="dxa"/>
          </w:tcPr>
          <w:p>
            <w:pPr>
              <w:spacing w:line="200" w:lineRule="exact"/>
              <w:rPr>
                <w:sz w:val="20"/>
                <w:szCs w:val="20"/>
              </w:rPr>
            </w:pPr>
          </w:p>
        </w:tc>
        <w:tc>
          <w:tcPr>
            <w:tcW w:w="951" w:type="dxa"/>
          </w:tcPr>
          <w:p>
            <w:pPr>
              <w:spacing w:line="200" w:lineRule="exact"/>
              <w:rPr>
                <w:sz w:val="20"/>
                <w:szCs w:val="20"/>
              </w:rPr>
            </w:pPr>
          </w:p>
        </w:tc>
        <w:tc>
          <w:tcPr>
            <w:tcW w:w="1442" w:type="dxa"/>
          </w:tcPr>
          <w:p>
            <w:pPr>
              <w:spacing w:line="200" w:lineRule="exact"/>
              <w:rPr>
                <w:sz w:val="20"/>
                <w:szCs w:val="20"/>
              </w:rPr>
            </w:pPr>
          </w:p>
        </w:tc>
        <w:tc>
          <w:tcPr>
            <w:tcW w:w="681" w:type="dxa"/>
          </w:tcPr>
          <w:p>
            <w:pPr>
              <w:spacing w:line="200" w:lineRule="exact"/>
              <w:rPr>
                <w:sz w:val="20"/>
                <w:szCs w:val="20"/>
              </w:rPr>
            </w:pPr>
          </w:p>
        </w:tc>
        <w:tc>
          <w:tcPr>
            <w:tcW w:w="730" w:type="dxa"/>
          </w:tcPr>
          <w:p>
            <w:pPr>
              <w:spacing w:line="200" w:lineRule="exact"/>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20" w:type="dxa"/>
          </w:tcPr>
          <w:p>
            <w:pPr>
              <w:spacing w:line="200" w:lineRule="exact"/>
              <w:rPr>
                <w:sz w:val="20"/>
                <w:szCs w:val="20"/>
              </w:rPr>
            </w:pPr>
          </w:p>
        </w:tc>
        <w:tc>
          <w:tcPr>
            <w:tcW w:w="1281" w:type="dxa"/>
          </w:tcPr>
          <w:p>
            <w:pPr>
              <w:spacing w:line="200" w:lineRule="exact"/>
              <w:rPr>
                <w:sz w:val="20"/>
                <w:szCs w:val="20"/>
              </w:rPr>
            </w:pPr>
          </w:p>
        </w:tc>
        <w:tc>
          <w:tcPr>
            <w:tcW w:w="751" w:type="dxa"/>
          </w:tcPr>
          <w:p>
            <w:pPr>
              <w:spacing w:line="200" w:lineRule="exact"/>
              <w:rPr>
                <w:sz w:val="20"/>
                <w:szCs w:val="20"/>
              </w:rPr>
            </w:pPr>
          </w:p>
        </w:tc>
        <w:tc>
          <w:tcPr>
            <w:tcW w:w="854" w:type="dxa"/>
          </w:tcPr>
          <w:p>
            <w:pPr>
              <w:spacing w:line="200" w:lineRule="exact"/>
              <w:rPr>
                <w:sz w:val="20"/>
                <w:szCs w:val="20"/>
              </w:rPr>
            </w:pPr>
          </w:p>
        </w:tc>
        <w:tc>
          <w:tcPr>
            <w:tcW w:w="1140" w:type="dxa"/>
          </w:tcPr>
          <w:p>
            <w:pPr>
              <w:spacing w:line="200" w:lineRule="exact"/>
              <w:rPr>
                <w:sz w:val="20"/>
                <w:szCs w:val="20"/>
              </w:rPr>
            </w:pPr>
          </w:p>
        </w:tc>
        <w:tc>
          <w:tcPr>
            <w:tcW w:w="1139" w:type="dxa"/>
          </w:tcPr>
          <w:p>
            <w:pPr>
              <w:spacing w:line="200" w:lineRule="exact"/>
              <w:rPr>
                <w:sz w:val="20"/>
                <w:szCs w:val="20"/>
              </w:rPr>
            </w:pPr>
          </w:p>
        </w:tc>
        <w:tc>
          <w:tcPr>
            <w:tcW w:w="951" w:type="dxa"/>
          </w:tcPr>
          <w:p>
            <w:pPr>
              <w:spacing w:line="200" w:lineRule="exact"/>
              <w:rPr>
                <w:sz w:val="20"/>
                <w:szCs w:val="20"/>
              </w:rPr>
            </w:pPr>
          </w:p>
        </w:tc>
        <w:tc>
          <w:tcPr>
            <w:tcW w:w="1442" w:type="dxa"/>
          </w:tcPr>
          <w:p>
            <w:pPr>
              <w:spacing w:line="200" w:lineRule="exact"/>
              <w:rPr>
                <w:sz w:val="20"/>
                <w:szCs w:val="20"/>
              </w:rPr>
            </w:pPr>
          </w:p>
        </w:tc>
        <w:tc>
          <w:tcPr>
            <w:tcW w:w="681" w:type="dxa"/>
          </w:tcPr>
          <w:p>
            <w:pPr>
              <w:spacing w:line="200" w:lineRule="exact"/>
              <w:rPr>
                <w:sz w:val="20"/>
                <w:szCs w:val="20"/>
              </w:rPr>
            </w:pPr>
          </w:p>
        </w:tc>
        <w:tc>
          <w:tcPr>
            <w:tcW w:w="730" w:type="dxa"/>
          </w:tcPr>
          <w:p>
            <w:pPr>
              <w:spacing w:line="200" w:lineRule="exact"/>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20" w:type="dxa"/>
          </w:tcPr>
          <w:p>
            <w:pPr>
              <w:spacing w:line="200" w:lineRule="exact"/>
              <w:rPr>
                <w:sz w:val="20"/>
                <w:szCs w:val="20"/>
              </w:rPr>
            </w:pPr>
          </w:p>
        </w:tc>
        <w:tc>
          <w:tcPr>
            <w:tcW w:w="1281" w:type="dxa"/>
          </w:tcPr>
          <w:p>
            <w:pPr>
              <w:spacing w:line="200" w:lineRule="exact"/>
              <w:rPr>
                <w:sz w:val="20"/>
                <w:szCs w:val="20"/>
              </w:rPr>
            </w:pPr>
          </w:p>
        </w:tc>
        <w:tc>
          <w:tcPr>
            <w:tcW w:w="751" w:type="dxa"/>
          </w:tcPr>
          <w:p>
            <w:pPr>
              <w:spacing w:line="200" w:lineRule="exact"/>
              <w:rPr>
                <w:sz w:val="20"/>
                <w:szCs w:val="20"/>
              </w:rPr>
            </w:pPr>
          </w:p>
        </w:tc>
        <w:tc>
          <w:tcPr>
            <w:tcW w:w="854" w:type="dxa"/>
          </w:tcPr>
          <w:p>
            <w:pPr>
              <w:spacing w:line="200" w:lineRule="exact"/>
              <w:rPr>
                <w:sz w:val="20"/>
                <w:szCs w:val="20"/>
              </w:rPr>
            </w:pPr>
          </w:p>
        </w:tc>
        <w:tc>
          <w:tcPr>
            <w:tcW w:w="1140" w:type="dxa"/>
          </w:tcPr>
          <w:p>
            <w:pPr>
              <w:spacing w:line="200" w:lineRule="exact"/>
              <w:rPr>
                <w:sz w:val="20"/>
                <w:szCs w:val="20"/>
              </w:rPr>
            </w:pPr>
          </w:p>
        </w:tc>
        <w:tc>
          <w:tcPr>
            <w:tcW w:w="1139" w:type="dxa"/>
          </w:tcPr>
          <w:p>
            <w:pPr>
              <w:spacing w:line="200" w:lineRule="exact"/>
              <w:rPr>
                <w:sz w:val="20"/>
                <w:szCs w:val="20"/>
              </w:rPr>
            </w:pPr>
          </w:p>
        </w:tc>
        <w:tc>
          <w:tcPr>
            <w:tcW w:w="951" w:type="dxa"/>
          </w:tcPr>
          <w:p>
            <w:pPr>
              <w:spacing w:line="200" w:lineRule="exact"/>
              <w:rPr>
                <w:sz w:val="20"/>
                <w:szCs w:val="20"/>
              </w:rPr>
            </w:pPr>
          </w:p>
        </w:tc>
        <w:tc>
          <w:tcPr>
            <w:tcW w:w="1442" w:type="dxa"/>
          </w:tcPr>
          <w:p>
            <w:pPr>
              <w:spacing w:line="200" w:lineRule="exact"/>
              <w:rPr>
                <w:sz w:val="20"/>
                <w:szCs w:val="20"/>
              </w:rPr>
            </w:pPr>
          </w:p>
        </w:tc>
        <w:tc>
          <w:tcPr>
            <w:tcW w:w="681" w:type="dxa"/>
          </w:tcPr>
          <w:p>
            <w:pPr>
              <w:spacing w:line="200" w:lineRule="exact"/>
              <w:rPr>
                <w:sz w:val="20"/>
                <w:szCs w:val="20"/>
              </w:rPr>
            </w:pPr>
          </w:p>
        </w:tc>
        <w:tc>
          <w:tcPr>
            <w:tcW w:w="730" w:type="dxa"/>
          </w:tcPr>
          <w:p>
            <w:pPr>
              <w:spacing w:line="200" w:lineRule="exact"/>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20" w:type="dxa"/>
          </w:tcPr>
          <w:p>
            <w:pPr>
              <w:spacing w:line="200" w:lineRule="exact"/>
              <w:rPr>
                <w:sz w:val="20"/>
                <w:szCs w:val="20"/>
              </w:rPr>
            </w:pPr>
          </w:p>
        </w:tc>
        <w:tc>
          <w:tcPr>
            <w:tcW w:w="1281" w:type="dxa"/>
          </w:tcPr>
          <w:p>
            <w:pPr>
              <w:spacing w:line="200" w:lineRule="exact"/>
              <w:rPr>
                <w:sz w:val="20"/>
                <w:szCs w:val="20"/>
              </w:rPr>
            </w:pPr>
          </w:p>
        </w:tc>
        <w:tc>
          <w:tcPr>
            <w:tcW w:w="751" w:type="dxa"/>
          </w:tcPr>
          <w:p>
            <w:pPr>
              <w:spacing w:line="200" w:lineRule="exact"/>
              <w:rPr>
                <w:sz w:val="20"/>
                <w:szCs w:val="20"/>
              </w:rPr>
            </w:pPr>
          </w:p>
        </w:tc>
        <w:tc>
          <w:tcPr>
            <w:tcW w:w="854" w:type="dxa"/>
          </w:tcPr>
          <w:p>
            <w:pPr>
              <w:spacing w:line="200" w:lineRule="exact"/>
              <w:rPr>
                <w:sz w:val="20"/>
                <w:szCs w:val="20"/>
              </w:rPr>
            </w:pPr>
          </w:p>
        </w:tc>
        <w:tc>
          <w:tcPr>
            <w:tcW w:w="1140" w:type="dxa"/>
          </w:tcPr>
          <w:p>
            <w:pPr>
              <w:spacing w:line="200" w:lineRule="exact"/>
              <w:rPr>
                <w:sz w:val="20"/>
                <w:szCs w:val="20"/>
              </w:rPr>
            </w:pPr>
          </w:p>
        </w:tc>
        <w:tc>
          <w:tcPr>
            <w:tcW w:w="1139" w:type="dxa"/>
          </w:tcPr>
          <w:p>
            <w:pPr>
              <w:spacing w:line="200" w:lineRule="exact"/>
              <w:rPr>
                <w:sz w:val="20"/>
                <w:szCs w:val="20"/>
              </w:rPr>
            </w:pPr>
          </w:p>
        </w:tc>
        <w:tc>
          <w:tcPr>
            <w:tcW w:w="951" w:type="dxa"/>
          </w:tcPr>
          <w:p>
            <w:pPr>
              <w:spacing w:line="200" w:lineRule="exact"/>
              <w:rPr>
                <w:sz w:val="20"/>
                <w:szCs w:val="20"/>
              </w:rPr>
            </w:pPr>
          </w:p>
        </w:tc>
        <w:tc>
          <w:tcPr>
            <w:tcW w:w="1442" w:type="dxa"/>
          </w:tcPr>
          <w:p>
            <w:pPr>
              <w:spacing w:line="200" w:lineRule="exact"/>
              <w:rPr>
                <w:sz w:val="20"/>
                <w:szCs w:val="20"/>
              </w:rPr>
            </w:pPr>
          </w:p>
        </w:tc>
        <w:tc>
          <w:tcPr>
            <w:tcW w:w="681" w:type="dxa"/>
          </w:tcPr>
          <w:p>
            <w:pPr>
              <w:spacing w:line="200" w:lineRule="exact"/>
              <w:rPr>
                <w:sz w:val="20"/>
                <w:szCs w:val="20"/>
              </w:rPr>
            </w:pPr>
          </w:p>
        </w:tc>
        <w:tc>
          <w:tcPr>
            <w:tcW w:w="730" w:type="dxa"/>
          </w:tcPr>
          <w:p>
            <w:pPr>
              <w:spacing w:line="200" w:lineRule="exact"/>
              <w:rPr>
                <w:sz w:val="20"/>
                <w:szCs w:val="20"/>
              </w:rPr>
            </w:pPr>
          </w:p>
        </w:tc>
      </w:tr>
    </w:tbl>
    <w:p>
      <w:pPr>
        <w:ind w:firstLine="0"/>
        <w:rPr>
          <w:u w:val="none"/>
        </w:rPr>
      </w:pPr>
    </w:p>
    <w:p>
      <w:pPr>
        <w:ind w:firstLine="0"/>
        <w:rPr>
          <w:u w:val="none"/>
        </w:rPr>
      </w:pPr>
    </w:p>
    <w:p>
      <w:pPr>
        <w:ind w:firstLine="0"/>
        <w:rPr>
          <w:u w:val="none"/>
        </w:rPr>
      </w:pPr>
    </w:p>
    <w:p>
      <w:pPr>
        <w:ind w:firstLine="0"/>
        <w:rPr>
          <w:u w:val="none"/>
        </w:rPr>
      </w:pPr>
    </w:p>
    <w:p>
      <w:pPr>
        <w:ind w:firstLine="0"/>
        <w:rPr>
          <w:u w:val="none"/>
        </w:rPr>
      </w:pPr>
    </w:p>
    <w:p>
      <w:pPr>
        <w:ind w:firstLine="0"/>
        <w:rPr>
          <w:u w:val="none"/>
        </w:rPr>
      </w:pPr>
    </w:p>
    <w:p>
      <w:pPr>
        <w:ind w:firstLine="0"/>
        <w:rPr>
          <w:u w:val="none"/>
        </w:rPr>
      </w:pPr>
      <w:r>
        <w:rPr>
          <w:rFonts w:hint="eastAsia"/>
          <w:u w:val="none"/>
        </w:rPr>
        <w:t>附件2：近三年省属企业资产评估业务承揽情况表</w:t>
      </w:r>
    </w:p>
    <w:p>
      <w:pPr>
        <w:ind w:firstLine="0"/>
        <w:jc w:val="center"/>
        <w:rPr>
          <w:u w:val="none"/>
        </w:rPr>
      </w:pPr>
      <w:r>
        <w:rPr>
          <w:rFonts w:hint="eastAsia"/>
          <w:b/>
          <w:bCs/>
          <w:sz w:val="30"/>
          <w:szCs w:val="30"/>
          <w:u w:val="none"/>
        </w:rPr>
        <w:t>近三年省属企业资产评估业务承揽情况表</w:t>
      </w:r>
    </w:p>
    <w:tbl>
      <w:tblPr>
        <w:tblStyle w:val="25"/>
        <w:tblW w:w="91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1477"/>
        <w:gridCol w:w="1181"/>
        <w:gridCol w:w="1420"/>
        <w:gridCol w:w="2295"/>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253" w:type="dxa"/>
            <w:vAlign w:val="center"/>
          </w:tcPr>
          <w:p>
            <w:pPr>
              <w:ind w:firstLine="0"/>
              <w:jc w:val="center"/>
              <w:rPr>
                <w:rFonts w:ascii="宋体" w:hAnsi="宋体"/>
                <w:b/>
                <w:szCs w:val="21"/>
                <w:u w:val="none"/>
              </w:rPr>
            </w:pPr>
            <w:bookmarkStart w:id="198" w:name="_Hlk2169367"/>
            <w:r>
              <w:rPr>
                <w:rFonts w:hint="eastAsia" w:ascii="宋体" w:hAnsi="宋体"/>
                <w:b/>
                <w:szCs w:val="21"/>
                <w:u w:val="none"/>
              </w:rPr>
              <w:t>序号</w:t>
            </w:r>
          </w:p>
        </w:tc>
        <w:tc>
          <w:tcPr>
            <w:tcW w:w="1477" w:type="dxa"/>
            <w:vAlign w:val="center"/>
          </w:tcPr>
          <w:p>
            <w:pPr>
              <w:ind w:firstLine="0"/>
              <w:jc w:val="center"/>
              <w:rPr>
                <w:rFonts w:ascii="宋体" w:hAnsi="宋体"/>
                <w:b/>
                <w:szCs w:val="21"/>
                <w:u w:val="none"/>
              </w:rPr>
            </w:pPr>
            <w:r>
              <w:rPr>
                <w:rFonts w:hint="eastAsia" w:ascii="宋体" w:hAnsi="宋体"/>
                <w:b/>
                <w:szCs w:val="21"/>
                <w:u w:val="none"/>
              </w:rPr>
              <w:t>项目名称</w:t>
            </w:r>
          </w:p>
        </w:tc>
        <w:tc>
          <w:tcPr>
            <w:tcW w:w="1181" w:type="dxa"/>
            <w:vAlign w:val="center"/>
          </w:tcPr>
          <w:p>
            <w:pPr>
              <w:ind w:firstLine="0"/>
              <w:jc w:val="center"/>
              <w:rPr>
                <w:rFonts w:ascii="宋体" w:hAnsi="宋体"/>
                <w:b/>
                <w:szCs w:val="21"/>
                <w:u w:val="none"/>
              </w:rPr>
            </w:pPr>
            <w:r>
              <w:rPr>
                <w:rFonts w:hint="eastAsia" w:ascii="宋体" w:hAnsi="宋体"/>
                <w:b/>
                <w:szCs w:val="21"/>
                <w:u w:val="none"/>
              </w:rPr>
              <w:t>合同金额（万元）</w:t>
            </w:r>
          </w:p>
        </w:tc>
        <w:tc>
          <w:tcPr>
            <w:tcW w:w="1420" w:type="dxa"/>
            <w:vAlign w:val="center"/>
          </w:tcPr>
          <w:p>
            <w:pPr>
              <w:ind w:firstLine="0"/>
              <w:jc w:val="center"/>
              <w:rPr>
                <w:rFonts w:ascii="宋体" w:hAnsi="宋体"/>
                <w:b/>
                <w:szCs w:val="21"/>
                <w:u w:val="none"/>
              </w:rPr>
            </w:pPr>
            <w:r>
              <w:rPr>
                <w:rFonts w:hint="eastAsia" w:ascii="宋体" w:hAnsi="宋体"/>
                <w:b/>
                <w:szCs w:val="21"/>
                <w:u w:val="none"/>
              </w:rPr>
              <w:t>项目完成时间</w:t>
            </w:r>
          </w:p>
        </w:tc>
        <w:tc>
          <w:tcPr>
            <w:tcW w:w="2295" w:type="dxa"/>
            <w:vAlign w:val="center"/>
          </w:tcPr>
          <w:p>
            <w:pPr>
              <w:ind w:firstLine="0"/>
              <w:jc w:val="center"/>
              <w:rPr>
                <w:rFonts w:ascii="宋体" w:hAnsi="宋体"/>
                <w:b/>
                <w:szCs w:val="21"/>
                <w:u w:val="none"/>
              </w:rPr>
            </w:pPr>
            <w:r>
              <w:rPr>
                <w:rFonts w:hint="eastAsia" w:ascii="宋体" w:hAnsi="宋体"/>
                <w:b/>
                <w:szCs w:val="21"/>
                <w:u w:val="none"/>
              </w:rPr>
              <w:t>评估对象</w:t>
            </w:r>
          </w:p>
          <w:p>
            <w:pPr>
              <w:ind w:firstLine="0"/>
              <w:jc w:val="center"/>
              <w:rPr>
                <w:rFonts w:ascii="宋体" w:hAnsi="宋体"/>
                <w:b/>
                <w:szCs w:val="21"/>
                <w:u w:val="none"/>
              </w:rPr>
            </w:pPr>
            <w:r>
              <w:rPr>
                <w:rFonts w:hint="eastAsia" w:ascii="宋体" w:hAnsi="宋体"/>
                <w:b/>
                <w:szCs w:val="21"/>
                <w:u w:val="none"/>
              </w:rPr>
              <w:t>评估值（万元）</w:t>
            </w:r>
          </w:p>
        </w:tc>
        <w:tc>
          <w:tcPr>
            <w:tcW w:w="1530" w:type="dxa"/>
            <w:vAlign w:val="center"/>
          </w:tcPr>
          <w:p>
            <w:pPr>
              <w:ind w:firstLine="0"/>
              <w:jc w:val="center"/>
              <w:rPr>
                <w:rFonts w:ascii="宋体" w:hAnsi="宋体"/>
                <w:b/>
                <w:szCs w:val="21"/>
                <w:u w:val="none"/>
              </w:rPr>
            </w:pPr>
            <w:r>
              <w:rPr>
                <w:rFonts w:hint="eastAsia" w:ascii="宋体" w:hAnsi="宋体"/>
                <w:b/>
                <w:szCs w:val="21"/>
                <w:u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253" w:type="dxa"/>
            <w:vAlign w:val="center"/>
          </w:tcPr>
          <w:p>
            <w:pPr>
              <w:jc w:val="center"/>
              <w:rPr>
                <w:rFonts w:ascii="宋体" w:hAnsi="宋体"/>
                <w:szCs w:val="21"/>
              </w:rPr>
            </w:pPr>
          </w:p>
        </w:tc>
        <w:tc>
          <w:tcPr>
            <w:tcW w:w="1477" w:type="dxa"/>
            <w:vAlign w:val="center"/>
          </w:tcPr>
          <w:p>
            <w:pPr>
              <w:jc w:val="center"/>
              <w:rPr>
                <w:rFonts w:ascii="宋体" w:hAnsi="宋体"/>
                <w:szCs w:val="21"/>
              </w:rPr>
            </w:pPr>
          </w:p>
        </w:tc>
        <w:tc>
          <w:tcPr>
            <w:tcW w:w="1181" w:type="dxa"/>
            <w:vAlign w:val="center"/>
          </w:tcPr>
          <w:p>
            <w:pPr>
              <w:jc w:val="center"/>
              <w:rPr>
                <w:rFonts w:ascii="宋体" w:hAnsi="宋体"/>
                <w:szCs w:val="21"/>
              </w:rPr>
            </w:pPr>
          </w:p>
        </w:tc>
        <w:tc>
          <w:tcPr>
            <w:tcW w:w="1420" w:type="dxa"/>
            <w:vAlign w:val="center"/>
          </w:tcPr>
          <w:p>
            <w:pPr>
              <w:jc w:val="center"/>
              <w:rPr>
                <w:rFonts w:ascii="宋体" w:hAnsi="宋体"/>
                <w:szCs w:val="21"/>
              </w:rPr>
            </w:pPr>
          </w:p>
        </w:tc>
        <w:tc>
          <w:tcPr>
            <w:tcW w:w="2295" w:type="dxa"/>
            <w:vAlign w:val="center"/>
          </w:tcPr>
          <w:p>
            <w:pPr>
              <w:jc w:val="center"/>
              <w:rPr>
                <w:rFonts w:ascii="宋体" w:hAnsi="宋体"/>
                <w:szCs w:val="21"/>
              </w:rPr>
            </w:pPr>
          </w:p>
        </w:tc>
        <w:tc>
          <w:tcPr>
            <w:tcW w:w="1530" w:type="dxa"/>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253" w:type="dxa"/>
            <w:vAlign w:val="center"/>
          </w:tcPr>
          <w:p>
            <w:pPr>
              <w:jc w:val="center"/>
              <w:rPr>
                <w:rFonts w:ascii="宋体" w:hAnsi="宋体"/>
                <w:szCs w:val="21"/>
              </w:rPr>
            </w:pPr>
          </w:p>
        </w:tc>
        <w:tc>
          <w:tcPr>
            <w:tcW w:w="1477" w:type="dxa"/>
            <w:vAlign w:val="center"/>
          </w:tcPr>
          <w:p>
            <w:pPr>
              <w:jc w:val="center"/>
              <w:rPr>
                <w:rFonts w:ascii="宋体" w:hAnsi="宋体"/>
                <w:szCs w:val="21"/>
              </w:rPr>
            </w:pPr>
          </w:p>
        </w:tc>
        <w:tc>
          <w:tcPr>
            <w:tcW w:w="1181" w:type="dxa"/>
            <w:vAlign w:val="center"/>
          </w:tcPr>
          <w:p>
            <w:pPr>
              <w:jc w:val="center"/>
              <w:rPr>
                <w:rFonts w:ascii="宋体" w:hAnsi="宋体"/>
                <w:szCs w:val="21"/>
              </w:rPr>
            </w:pPr>
          </w:p>
        </w:tc>
        <w:tc>
          <w:tcPr>
            <w:tcW w:w="1420" w:type="dxa"/>
            <w:vAlign w:val="center"/>
          </w:tcPr>
          <w:p>
            <w:pPr>
              <w:jc w:val="center"/>
              <w:rPr>
                <w:rFonts w:ascii="宋体" w:hAnsi="宋体"/>
                <w:szCs w:val="21"/>
              </w:rPr>
            </w:pPr>
          </w:p>
        </w:tc>
        <w:tc>
          <w:tcPr>
            <w:tcW w:w="2295" w:type="dxa"/>
            <w:vAlign w:val="center"/>
          </w:tcPr>
          <w:p>
            <w:pPr>
              <w:jc w:val="center"/>
              <w:rPr>
                <w:rFonts w:ascii="宋体" w:hAnsi="宋体"/>
                <w:szCs w:val="21"/>
              </w:rPr>
            </w:pPr>
          </w:p>
        </w:tc>
        <w:tc>
          <w:tcPr>
            <w:tcW w:w="1530" w:type="dxa"/>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253" w:type="dxa"/>
            <w:vAlign w:val="center"/>
          </w:tcPr>
          <w:p>
            <w:pPr>
              <w:jc w:val="center"/>
              <w:rPr>
                <w:rFonts w:ascii="宋体" w:hAnsi="宋体"/>
                <w:szCs w:val="21"/>
              </w:rPr>
            </w:pPr>
          </w:p>
        </w:tc>
        <w:tc>
          <w:tcPr>
            <w:tcW w:w="1477" w:type="dxa"/>
            <w:vAlign w:val="center"/>
          </w:tcPr>
          <w:p>
            <w:pPr>
              <w:jc w:val="center"/>
              <w:rPr>
                <w:rFonts w:ascii="宋体" w:hAnsi="宋体"/>
                <w:szCs w:val="21"/>
              </w:rPr>
            </w:pPr>
          </w:p>
        </w:tc>
        <w:tc>
          <w:tcPr>
            <w:tcW w:w="1181" w:type="dxa"/>
            <w:vAlign w:val="center"/>
          </w:tcPr>
          <w:p>
            <w:pPr>
              <w:jc w:val="center"/>
              <w:rPr>
                <w:rFonts w:ascii="宋体" w:hAnsi="宋体"/>
                <w:szCs w:val="21"/>
              </w:rPr>
            </w:pPr>
          </w:p>
        </w:tc>
        <w:tc>
          <w:tcPr>
            <w:tcW w:w="1420" w:type="dxa"/>
            <w:vAlign w:val="center"/>
          </w:tcPr>
          <w:p>
            <w:pPr>
              <w:jc w:val="center"/>
              <w:rPr>
                <w:rFonts w:ascii="宋体" w:hAnsi="宋体"/>
                <w:szCs w:val="21"/>
              </w:rPr>
            </w:pPr>
          </w:p>
        </w:tc>
        <w:tc>
          <w:tcPr>
            <w:tcW w:w="2295" w:type="dxa"/>
            <w:vAlign w:val="center"/>
          </w:tcPr>
          <w:p>
            <w:pPr>
              <w:jc w:val="center"/>
              <w:rPr>
                <w:rFonts w:ascii="宋体" w:hAnsi="宋体"/>
                <w:szCs w:val="21"/>
              </w:rPr>
            </w:pPr>
          </w:p>
        </w:tc>
        <w:tc>
          <w:tcPr>
            <w:tcW w:w="1530" w:type="dxa"/>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253" w:type="dxa"/>
            <w:vAlign w:val="center"/>
          </w:tcPr>
          <w:p>
            <w:pPr>
              <w:jc w:val="center"/>
              <w:rPr>
                <w:rFonts w:ascii="宋体" w:hAnsi="宋体"/>
                <w:szCs w:val="21"/>
              </w:rPr>
            </w:pPr>
          </w:p>
        </w:tc>
        <w:tc>
          <w:tcPr>
            <w:tcW w:w="1477" w:type="dxa"/>
            <w:vAlign w:val="center"/>
          </w:tcPr>
          <w:p>
            <w:pPr>
              <w:jc w:val="center"/>
              <w:rPr>
                <w:rFonts w:ascii="宋体" w:hAnsi="宋体"/>
                <w:szCs w:val="21"/>
              </w:rPr>
            </w:pPr>
          </w:p>
        </w:tc>
        <w:tc>
          <w:tcPr>
            <w:tcW w:w="1181" w:type="dxa"/>
            <w:vAlign w:val="center"/>
          </w:tcPr>
          <w:p>
            <w:pPr>
              <w:jc w:val="center"/>
              <w:rPr>
                <w:rFonts w:ascii="宋体" w:hAnsi="宋体"/>
                <w:szCs w:val="21"/>
              </w:rPr>
            </w:pPr>
          </w:p>
        </w:tc>
        <w:tc>
          <w:tcPr>
            <w:tcW w:w="1420" w:type="dxa"/>
            <w:vAlign w:val="center"/>
          </w:tcPr>
          <w:p>
            <w:pPr>
              <w:jc w:val="center"/>
              <w:rPr>
                <w:rFonts w:ascii="宋体" w:hAnsi="宋体"/>
                <w:szCs w:val="21"/>
              </w:rPr>
            </w:pPr>
          </w:p>
        </w:tc>
        <w:tc>
          <w:tcPr>
            <w:tcW w:w="2295" w:type="dxa"/>
            <w:vAlign w:val="center"/>
          </w:tcPr>
          <w:p>
            <w:pPr>
              <w:jc w:val="center"/>
              <w:rPr>
                <w:rFonts w:ascii="宋体" w:hAnsi="宋体"/>
                <w:szCs w:val="21"/>
              </w:rPr>
            </w:pPr>
          </w:p>
        </w:tc>
        <w:tc>
          <w:tcPr>
            <w:tcW w:w="1530" w:type="dxa"/>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253" w:type="dxa"/>
            <w:vAlign w:val="center"/>
          </w:tcPr>
          <w:p>
            <w:pPr>
              <w:jc w:val="center"/>
              <w:rPr>
                <w:rFonts w:ascii="宋体" w:hAnsi="宋体"/>
                <w:szCs w:val="21"/>
              </w:rPr>
            </w:pPr>
          </w:p>
        </w:tc>
        <w:tc>
          <w:tcPr>
            <w:tcW w:w="1477" w:type="dxa"/>
            <w:vAlign w:val="center"/>
          </w:tcPr>
          <w:p>
            <w:pPr>
              <w:jc w:val="center"/>
              <w:rPr>
                <w:rFonts w:ascii="宋体" w:hAnsi="宋体"/>
                <w:szCs w:val="21"/>
              </w:rPr>
            </w:pPr>
          </w:p>
        </w:tc>
        <w:tc>
          <w:tcPr>
            <w:tcW w:w="1181" w:type="dxa"/>
            <w:vAlign w:val="center"/>
          </w:tcPr>
          <w:p>
            <w:pPr>
              <w:jc w:val="center"/>
              <w:rPr>
                <w:rFonts w:ascii="宋体" w:hAnsi="宋体"/>
                <w:szCs w:val="21"/>
              </w:rPr>
            </w:pPr>
          </w:p>
        </w:tc>
        <w:tc>
          <w:tcPr>
            <w:tcW w:w="1420" w:type="dxa"/>
            <w:vAlign w:val="center"/>
          </w:tcPr>
          <w:p>
            <w:pPr>
              <w:jc w:val="center"/>
              <w:rPr>
                <w:rFonts w:ascii="宋体" w:hAnsi="宋体"/>
                <w:szCs w:val="21"/>
              </w:rPr>
            </w:pPr>
          </w:p>
        </w:tc>
        <w:tc>
          <w:tcPr>
            <w:tcW w:w="2295" w:type="dxa"/>
            <w:vAlign w:val="center"/>
          </w:tcPr>
          <w:p>
            <w:pPr>
              <w:jc w:val="center"/>
              <w:rPr>
                <w:rFonts w:ascii="宋体" w:hAnsi="宋体"/>
                <w:szCs w:val="21"/>
              </w:rPr>
            </w:pPr>
          </w:p>
        </w:tc>
        <w:tc>
          <w:tcPr>
            <w:tcW w:w="1530" w:type="dxa"/>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253" w:type="dxa"/>
            <w:vAlign w:val="center"/>
          </w:tcPr>
          <w:p>
            <w:pPr>
              <w:jc w:val="center"/>
              <w:rPr>
                <w:rFonts w:ascii="宋体" w:hAnsi="宋体"/>
                <w:szCs w:val="21"/>
              </w:rPr>
            </w:pPr>
          </w:p>
        </w:tc>
        <w:tc>
          <w:tcPr>
            <w:tcW w:w="1477" w:type="dxa"/>
            <w:vAlign w:val="center"/>
          </w:tcPr>
          <w:p>
            <w:pPr>
              <w:jc w:val="center"/>
              <w:rPr>
                <w:rFonts w:ascii="宋体" w:hAnsi="宋体"/>
                <w:szCs w:val="21"/>
              </w:rPr>
            </w:pPr>
          </w:p>
        </w:tc>
        <w:tc>
          <w:tcPr>
            <w:tcW w:w="1181" w:type="dxa"/>
            <w:vAlign w:val="center"/>
          </w:tcPr>
          <w:p>
            <w:pPr>
              <w:jc w:val="center"/>
              <w:rPr>
                <w:rFonts w:ascii="宋体" w:hAnsi="宋体"/>
                <w:szCs w:val="21"/>
              </w:rPr>
            </w:pPr>
          </w:p>
        </w:tc>
        <w:tc>
          <w:tcPr>
            <w:tcW w:w="1420" w:type="dxa"/>
            <w:vAlign w:val="center"/>
          </w:tcPr>
          <w:p>
            <w:pPr>
              <w:jc w:val="center"/>
              <w:rPr>
                <w:rFonts w:ascii="宋体" w:hAnsi="宋体"/>
                <w:szCs w:val="21"/>
              </w:rPr>
            </w:pPr>
          </w:p>
        </w:tc>
        <w:tc>
          <w:tcPr>
            <w:tcW w:w="2295" w:type="dxa"/>
            <w:vAlign w:val="center"/>
          </w:tcPr>
          <w:p>
            <w:pPr>
              <w:jc w:val="center"/>
              <w:rPr>
                <w:rFonts w:ascii="宋体" w:hAnsi="宋体"/>
                <w:szCs w:val="21"/>
              </w:rPr>
            </w:pPr>
          </w:p>
        </w:tc>
        <w:tc>
          <w:tcPr>
            <w:tcW w:w="1530" w:type="dxa"/>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253" w:type="dxa"/>
            <w:vAlign w:val="center"/>
          </w:tcPr>
          <w:p>
            <w:pPr>
              <w:jc w:val="center"/>
              <w:rPr>
                <w:rFonts w:ascii="宋体" w:hAnsi="宋体"/>
                <w:szCs w:val="21"/>
              </w:rPr>
            </w:pPr>
          </w:p>
        </w:tc>
        <w:tc>
          <w:tcPr>
            <w:tcW w:w="1477" w:type="dxa"/>
            <w:vAlign w:val="center"/>
          </w:tcPr>
          <w:p>
            <w:pPr>
              <w:jc w:val="center"/>
              <w:rPr>
                <w:rFonts w:ascii="宋体" w:hAnsi="宋体"/>
                <w:szCs w:val="21"/>
              </w:rPr>
            </w:pPr>
          </w:p>
        </w:tc>
        <w:tc>
          <w:tcPr>
            <w:tcW w:w="1181" w:type="dxa"/>
            <w:vAlign w:val="center"/>
          </w:tcPr>
          <w:p>
            <w:pPr>
              <w:jc w:val="center"/>
              <w:rPr>
                <w:rFonts w:ascii="宋体" w:hAnsi="宋体"/>
                <w:szCs w:val="21"/>
              </w:rPr>
            </w:pPr>
          </w:p>
        </w:tc>
        <w:tc>
          <w:tcPr>
            <w:tcW w:w="1420" w:type="dxa"/>
            <w:vAlign w:val="center"/>
          </w:tcPr>
          <w:p>
            <w:pPr>
              <w:jc w:val="center"/>
              <w:rPr>
                <w:rFonts w:ascii="宋体" w:hAnsi="宋体"/>
                <w:szCs w:val="21"/>
              </w:rPr>
            </w:pPr>
          </w:p>
        </w:tc>
        <w:tc>
          <w:tcPr>
            <w:tcW w:w="2295" w:type="dxa"/>
            <w:vAlign w:val="center"/>
          </w:tcPr>
          <w:p>
            <w:pPr>
              <w:jc w:val="center"/>
              <w:rPr>
                <w:rFonts w:ascii="宋体" w:hAnsi="宋体"/>
                <w:szCs w:val="21"/>
              </w:rPr>
            </w:pPr>
          </w:p>
        </w:tc>
        <w:tc>
          <w:tcPr>
            <w:tcW w:w="1530" w:type="dxa"/>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253" w:type="dxa"/>
            <w:vAlign w:val="center"/>
          </w:tcPr>
          <w:p>
            <w:pPr>
              <w:jc w:val="center"/>
              <w:rPr>
                <w:rFonts w:ascii="宋体" w:hAnsi="宋体"/>
                <w:szCs w:val="21"/>
              </w:rPr>
            </w:pPr>
          </w:p>
        </w:tc>
        <w:tc>
          <w:tcPr>
            <w:tcW w:w="1477" w:type="dxa"/>
            <w:vAlign w:val="center"/>
          </w:tcPr>
          <w:p>
            <w:pPr>
              <w:jc w:val="center"/>
              <w:rPr>
                <w:rFonts w:ascii="宋体" w:hAnsi="宋体"/>
                <w:szCs w:val="21"/>
              </w:rPr>
            </w:pPr>
          </w:p>
        </w:tc>
        <w:tc>
          <w:tcPr>
            <w:tcW w:w="1181" w:type="dxa"/>
            <w:vAlign w:val="center"/>
          </w:tcPr>
          <w:p>
            <w:pPr>
              <w:jc w:val="center"/>
              <w:rPr>
                <w:rFonts w:ascii="宋体" w:hAnsi="宋体"/>
                <w:szCs w:val="21"/>
              </w:rPr>
            </w:pPr>
          </w:p>
        </w:tc>
        <w:tc>
          <w:tcPr>
            <w:tcW w:w="1420" w:type="dxa"/>
            <w:vAlign w:val="center"/>
          </w:tcPr>
          <w:p>
            <w:pPr>
              <w:jc w:val="center"/>
              <w:rPr>
                <w:rFonts w:ascii="宋体" w:hAnsi="宋体"/>
                <w:szCs w:val="21"/>
              </w:rPr>
            </w:pPr>
          </w:p>
        </w:tc>
        <w:tc>
          <w:tcPr>
            <w:tcW w:w="2295" w:type="dxa"/>
            <w:vAlign w:val="center"/>
          </w:tcPr>
          <w:p>
            <w:pPr>
              <w:jc w:val="center"/>
              <w:rPr>
                <w:rFonts w:ascii="宋体" w:hAnsi="宋体"/>
                <w:szCs w:val="21"/>
              </w:rPr>
            </w:pPr>
          </w:p>
        </w:tc>
        <w:tc>
          <w:tcPr>
            <w:tcW w:w="1530" w:type="dxa"/>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253" w:type="dxa"/>
            <w:vAlign w:val="center"/>
          </w:tcPr>
          <w:p>
            <w:pPr>
              <w:jc w:val="center"/>
              <w:rPr>
                <w:rFonts w:ascii="宋体" w:hAnsi="宋体"/>
                <w:szCs w:val="21"/>
              </w:rPr>
            </w:pPr>
          </w:p>
        </w:tc>
        <w:tc>
          <w:tcPr>
            <w:tcW w:w="1477" w:type="dxa"/>
            <w:vAlign w:val="center"/>
          </w:tcPr>
          <w:p>
            <w:pPr>
              <w:jc w:val="center"/>
              <w:rPr>
                <w:rFonts w:ascii="宋体" w:hAnsi="宋体"/>
                <w:szCs w:val="21"/>
              </w:rPr>
            </w:pPr>
          </w:p>
        </w:tc>
        <w:tc>
          <w:tcPr>
            <w:tcW w:w="1181" w:type="dxa"/>
            <w:vAlign w:val="center"/>
          </w:tcPr>
          <w:p>
            <w:pPr>
              <w:jc w:val="center"/>
              <w:rPr>
                <w:rFonts w:ascii="宋体" w:hAnsi="宋体"/>
                <w:szCs w:val="21"/>
              </w:rPr>
            </w:pPr>
          </w:p>
        </w:tc>
        <w:tc>
          <w:tcPr>
            <w:tcW w:w="1420" w:type="dxa"/>
            <w:vAlign w:val="center"/>
          </w:tcPr>
          <w:p>
            <w:pPr>
              <w:jc w:val="center"/>
              <w:rPr>
                <w:rFonts w:ascii="宋体" w:hAnsi="宋体"/>
                <w:szCs w:val="21"/>
              </w:rPr>
            </w:pPr>
          </w:p>
        </w:tc>
        <w:tc>
          <w:tcPr>
            <w:tcW w:w="2295" w:type="dxa"/>
            <w:vAlign w:val="center"/>
          </w:tcPr>
          <w:p>
            <w:pPr>
              <w:jc w:val="center"/>
              <w:rPr>
                <w:rFonts w:ascii="宋体" w:hAnsi="宋体"/>
                <w:szCs w:val="21"/>
              </w:rPr>
            </w:pPr>
          </w:p>
        </w:tc>
        <w:tc>
          <w:tcPr>
            <w:tcW w:w="1530" w:type="dxa"/>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253" w:type="dxa"/>
            <w:vAlign w:val="center"/>
          </w:tcPr>
          <w:p>
            <w:pPr>
              <w:jc w:val="center"/>
              <w:rPr>
                <w:rFonts w:ascii="宋体" w:hAnsi="宋体"/>
                <w:szCs w:val="21"/>
              </w:rPr>
            </w:pPr>
          </w:p>
        </w:tc>
        <w:tc>
          <w:tcPr>
            <w:tcW w:w="1477" w:type="dxa"/>
            <w:vAlign w:val="center"/>
          </w:tcPr>
          <w:p>
            <w:pPr>
              <w:jc w:val="center"/>
              <w:rPr>
                <w:rFonts w:ascii="宋体" w:hAnsi="宋体"/>
                <w:szCs w:val="21"/>
              </w:rPr>
            </w:pPr>
          </w:p>
        </w:tc>
        <w:tc>
          <w:tcPr>
            <w:tcW w:w="1181" w:type="dxa"/>
            <w:vAlign w:val="center"/>
          </w:tcPr>
          <w:p>
            <w:pPr>
              <w:jc w:val="center"/>
              <w:rPr>
                <w:rFonts w:ascii="宋体" w:hAnsi="宋体"/>
                <w:szCs w:val="21"/>
              </w:rPr>
            </w:pPr>
          </w:p>
        </w:tc>
        <w:tc>
          <w:tcPr>
            <w:tcW w:w="1420" w:type="dxa"/>
            <w:vAlign w:val="center"/>
          </w:tcPr>
          <w:p>
            <w:pPr>
              <w:jc w:val="center"/>
              <w:rPr>
                <w:rFonts w:ascii="宋体" w:hAnsi="宋体"/>
                <w:szCs w:val="21"/>
              </w:rPr>
            </w:pPr>
          </w:p>
        </w:tc>
        <w:tc>
          <w:tcPr>
            <w:tcW w:w="2295" w:type="dxa"/>
            <w:vAlign w:val="center"/>
          </w:tcPr>
          <w:p>
            <w:pPr>
              <w:jc w:val="center"/>
              <w:rPr>
                <w:rFonts w:ascii="宋体" w:hAnsi="宋体"/>
                <w:szCs w:val="21"/>
              </w:rPr>
            </w:pPr>
          </w:p>
        </w:tc>
        <w:tc>
          <w:tcPr>
            <w:tcW w:w="1530" w:type="dxa"/>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253" w:type="dxa"/>
            <w:vAlign w:val="center"/>
          </w:tcPr>
          <w:p>
            <w:pPr>
              <w:jc w:val="center"/>
              <w:rPr>
                <w:rFonts w:ascii="宋体" w:hAnsi="宋体"/>
                <w:szCs w:val="21"/>
              </w:rPr>
            </w:pPr>
          </w:p>
        </w:tc>
        <w:tc>
          <w:tcPr>
            <w:tcW w:w="1477" w:type="dxa"/>
            <w:vAlign w:val="center"/>
          </w:tcPr>
          <w:p>
            <w:pPr>
              <w:jc w:val="center"/>
              <w:rPr>
                <w:rFonts w:ascii="宋体" w:hAnsi="宋体"/>
                <w:szCs w:val="21"/>
              </w:rPr>
            </w:pPr>
          </w:p>
        </w:tc>
        <w:tc>
          <w:tcPr>
            <w:tcW w:w="1181" w:type="dxa"/>
            <w:vAlign w:val="center"/>
          </w:tcPr>
          <w:p>
            <w:pPr>
              <w:jc w:val="center"/>
              <w:rPr>
                <w:rFonts w:ascii="宋体" w:hAnsi="宋体"/>
                <w:szCs w:val="21"/>
              </w:rPr>
            </w:pPr>
          </w:p>
        </w:tc>
        <w:tc>
          <w:tcPr>
            <w:tcW w:w="1420" w:type="dxa"/>
            <w:vAlign w:val="center"/>
          </w:tcPr>
          <w:p>
            <w:pPr>
              <w:jc w:val="center"/>
              <w:rPr>
                <w:rFonts w:ascii="宋体" w:hAnsi="宋体"/>
                <w:szCs w:val="21"/>
              </w:rPr>
            </w:pPr>
          </w:p>
        </w:tc>
        <w:tc>
          <w:tcPr>
            <w:tcW w:w="2295" w:type="dxa"/>
            <w:vAlign w:val="center"/>
          </w:tcPr>
          <w:p>
            <w:pPr>
              <w:jc w:val="center"/>
              <w:rPr>
                <w:rFonts w:ascii="宋体" w:hAnsi="宋体"/>
                <w:szCs w:val="21"/>
              </w:rPr>
            </w:pPr>
          </w:p>
        </w:tc>
        <w:tc>
          <w:tcPr>
            <w:tcW w:w="1530" w:type="dxa"/>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253" w:type="dxa"/>
            <w:vAlign w:val="center"/>
          </w:tcPr>
          <w:p>
            <w:pPr>
              <w:jc w:val="center"/>
              <w:rPr>
                <w:rFonts w:ascii="宋体" w:hAnsi="宋体"/>
                <w:szCs w:val="21"/>
              </w:rPr>
            </w:pPr>
          </w:p>
        </w:tc>
        <w:tc>
          <w:tcPr>
            <w:tcW w:w="1477" w:type="dxa"/>
            <w:vAlign w:val="center"/>
          </w:tcPr>
          <w:p>
            <w:pPr>
              <w:jc w:val="center"/>
              <w:rPr>
                <w:rFonts w:ascii="宋体" w:hAnsi="宋体"/>
                <w:szCs w:val="21"/>
              </w:rPr>
            </w:pPr>
          </w:p>
        </w:tc>
        <w:tc>
          <w:tcPr>
            <w:tcW w:w="1181" w:type="dxa"/>
            <w:vAlign w:val="center"/>
          </w:tcPr>
          <w:p>
            <w:pPr>
              <w:jc w:val="center"/>
              <w:rPr>
                <w:rFonts w:ascii="宋体" w:hAnsi="宋体"/>
                <w:szCs w:val="21"/>
              </w:rPr>
            </w:pPr>
          </w:p>
        </w:tc>
        <w:tc>
          <w:tcPr>
            <w:tcW w:w="1420" w:type="dxa"/>
            <w:vAlign w:val="center"/>
          </w:tcPr>
          <w:p>
            <w:pPr>
              <w:jc w:val="center"/>
              <w:rPr>
                <w:rFonts w:ascii="宋体" w:hAnsi="宋体"/>
                <w:szCs w:val="21"/>
              </w:rPr>
            </w:pPr>
          </w:p>
        </w:tc>
        <w:tc>
          <w:tcPr>
            <w:tcW w:w="2295" w:type="dxa"/>
            <w:vAlign w:val="center"/>
          </w:tcPr>
          <w:p>
            <w:pPr>
              <w:jc w:val="center"/>
              <w:rPr>
                <w:rFonts w:ascii="宋体" w:hAnsi="宋体"/>
                <w:szCs w:val="21"/>
              </w:rPr>
            </w:pPr>
          </w:p>
        </w:tc>
        <w:tc>
          <w:tcPr>
            <w:tcW w:w="1530" w:type="dxa"/>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253" w:type="dxa"/>
            <w:vAlign w:val="center"/>
          </w:tcPr>
          <w:p>
            <w:pPr>
              <w:jc w:val="center"/>
              <w:rPr>
                <w:rFonts w:ascii="宋体" w:hAnsi="宋体"/>
                <w:szCs w:val="21"/>
              </w:rPr>
            </w:pPr>
          </w:p>
        </w:tc>
        <w:tc>
          <w:tcPr>
            <w:tcW w:w="1477" w:type="dxa"/>
            <w:vAlign w:val="center"/>
          </w:tcPr>
          <w:p>
            <w:pPr>
              <w:jc w:val="center"/>
              <w:rPr>
                <w:rFonts w:ascii="宋体" w:hAnsi="宋体"/>
                <w:szCs w:val="21"/>
              </w:rPr>
            </w:pPr>
          </w:p>
        </w:tc>
        <w:tc>
          <w:tcPr>
            <w:tcW w:w="1181" w:type="dxa"/>
            <w:vAlign w:val="center"/>
          </w:tcPr>
          <w:p>
            <w:pPr>
              <w:jc w:val="center"/>
              <w:rPr>
                <w:rFonts w:ascii="宋体" w:hAnsi="宋体"/>
                <w:szCs w:val="21"/>
              </w:rPr>
            </w:pPr>
          </w:p>
        </w:tc>
        <w:tc>
          <w:tcPr>
            <w:tcW w:w="1420" w:type="dxa"/>
            <w:vAlign w:val="center"/>
          </w:tcPr>
          <w:p>
            <w:pPr>
              <w:jc w:val="center"/>
              <w:rPr>
                <w:rFonts w:ascii="宋体" w:hAnsi="宋体"/>
                <w:szCs w:val="21"/>
              </w:rPr>
            </w:pPr>
          </w:p>
        </w:tc>
        <w:tc>
          <w:tcPr>
            <w:tcW w:w="2295" w:type="dxa"/>
            <w:vAlign w:val="center"/>
          </w:tcPr>
          <w:p>
            <w:pPr>
              <w:jc w:val="center"/>
              <w:rPr>
                <w:rFonts w:ascii="宋体" w:hAnsi="宋体"/>
                <w:szCs w:val="21"/>
              </w:rPr>
            </w:pPr>
          </w:p>
        </w:tc>
        <w:tc>
          <w:tcPr>
            <w:tcW w:w="1530" w:type="dxa"/>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253" w:type="dxa"/>
            <w:vAlign w:val="center"/>
          </w:tcPr>
          <w:p>
            <w:pPr>
              <w:jc w:val="center"/>
              <w:rPr>
                <w:rFonts w:ascii="宋体" w:hAnsi="宋体"/>
                <w:szCs w:val="21"/>
              </w:rPr>
            </w:pPr>
          </w:p>
        </w:tc>
        <w:tc>
          <w:tcPr>
            <w:tcW w:w="1477" w:type="dxa"/>
            <w:vAlign w:val="center"/>
          </w:tcPr>
          <w:p>
            <w:pPr>
              <w:jc w:val="center"/>
              <w:rPr>
                <w:rFonts w:ascii="宋体" w:hAnsi="宋体"/>
                <w:szCs w:val="21"/>
              </w:rPr>
            </w:pPr>
          </w:p>
        </w:tc>
        <w:tc>
          <w:tcPr>
            <w:tcW w:w="1181" w:type="dxa"/>
            <w:vAlign w:val="center"/>
          </w:tcPr>
          <w:p>
            <w:pPr>
              <w:jc w:val="center"/>
              <w:rPr>
                <w:rFonts w:ascii="宋体" w:hAnsi="宋体"/>
                <w:szCs w:val="21"/>
              </w:rPr>
            </w:pPr>
          </w:p>
        </w:tc>
        <w:tc>
          <w:tcPr>
            <w:tcW w:w="1420" w:type="dxa"/>
            <w:vAlign w:val="center"/>
          </w:tcPr>
          <w:p>
            <w:pPr>
              <w:jc w:val="center"/>
              <w:rPr>
                <w:rFonts w:ascii="宋体" w:hAnsi="宋体"/>
                <w:szCs w:val="21"/>
              </w:rPr>
            </w:pPr>
          </w:p>
        </w:tc>
        <w:tc>
          <w:tcPr>
            <w:tcW w:w="2295" w:type="dxa"/>
            <w:vAlign w:val="center"/>
          </w:tcPr>
          <w:p>
            <w:pPr>
              <w:jc w:val="center"/>
              <w:rPr>
                <w:rFonts w:ascii="宋体" w:hAnsi="宋体"/>
                <w:szCs w:val="21"/>
              </w:rPr>
            </w:pPr>
          </w:p>
        </w:tc>
        <w:tc>
          <w:tcPr>
            <w:tcW w:w="1530" w:type="dxa"/>
          </w:tcPr>
          <w:p>
            <w:pPr>
              <w:jc w:val="center"/>
              <w:rPr>
                <w:rFonts w:ascii="宋体" w:hAnsi="宋体"/>
                <w:szCs w:val="21"/>
              </w:rPr>
            </w:pPr>
          </w:p>
        </w:tc>
      </w:tr>
      <w:bookmarkEnd w:id="198"/>
    </w:tbl>
    <w:p>
      <w:pPr>
        <w:ind w:firstLine="0"/>
        <w:rPr>
          <w:b/>
          <w:bCs/>
          <w:u w:val="none"/>
        </w:rPr>
      </w:pPr>
      <w:r>
        <w:rPr>
          <w:rFonts w:hint="eastAsia"/>
          <w:b/>
          <w:bCs/>
          <w:u w:val="none"/>
        </w:rPr>
        <w:t>备注：</w:t>
      </w:r>
      <w:r>
        <w:rPr>
          <w:rFonts w:ascii="宋体" w:hAnsi="宋体" w:cs="宋体"/>
          <w:u w:val="none"/>
        </w:rPr>
        <w:t>需提供中标通知书或资产评估合同</w:t>
      </w:r>
    </w:p>
    <w:p>
      <w:pPr>
        <w:ind w:firstLine="0"/>
        <w:rPr>
          <w:b/>
          <w:bCs/>
          <w:u w:val="none"/>
        </w:rPr>
      </w:pPr>
    </w:p>
    <w:p>
      <w:pPr>
        <w:ind w:firstLine="0"/>
        <w:rPr>
          <w:b/>
          <w:bCs/>
          <w:u w:val="none"/>
        </w:rPr>
      </w:pPr>
    </w:p>
    <w:p>
      <w:pPr>
        <w:ind w:firstLine="0"/>
        <w:rPr>
          <w:b/>
          <w:bCs/>
          <w:u w:val="none"/>
        </w:rPr>
      </w:pPr>
    </w:p>
    <w:p>
      <w:pPr>
        <w:ind w:firstLine="0"/>
        <w:rPr>
          <w:b/>
          <w:bCs/>
          <w:u w:val="none"/>
        </w:rPr>
      </w:pPr>
    </w:p>
    <w:p>
      <w:pPr>
        <w:ind w:firstLine="0"/>
        <w:rPr>
          <w:b/>
          <w:bCs/>
          <w:u w:val="none"/>
        </w:rPr>
      </w:pPr>
    </w:p>
    <w:p>
      <w:pPr>
        <w:ind w:firstLine="0"/>
        <w:rPr>
          <w:b/>
          <w:bCs/>
          <w:u w:val="none"/>
        </w:rPr>
      </w:pPr>
    </w:p>
    <w:p>
      <w:pPr>
        <w:ind w:firstLine="0"/>
        <w:rPr>
          <w:b/>
          <w:bCs/>
          <w:u w:val="none"/>
        </w:rPr>
      </w:pPr>
    </w:p>
    <w:p>
      <w:pPr>
        <w:ind w:firstLine="0"/>
        <w:rPr>
          <w:b/>
          <w:bCs/>
          <w:u w:val="none"/>
        </w:rPr>
      </w:pPr>
    </w:p>
    <w:p>
      <w:pPr>
        <w:ind w:firstLine="0"/>
        <w:rPr>
          <w:b/>
          <w:bCs/>
          <w:u w:val="none"/>
        </w:rPr>
      </w:pPr>
    </w:p>
    <w:p>
      <w:pPr>
        <w:ind w:left="0" w:leftChars="0" w:firstLine="0" w:firstLineChars="0"/>
        <w:jc w:val="both"/>
      </w:pPr>
    </w:p>
    <w:p>
      <w:pPr>
        <w:pStyle w:val="4"/>
        <w:ind w:firstLine="482" w:firstLineChars="200"/>
        <w:rPr>
          <w:rFonts w:ascii="宋体" w:hAnsi="宋体" w:cs="宋体"/>
          <w:color w:val="FF0000"/>
        </w:rPr>
      </w:pPr>
      <w:bookmarkStart w:id="199" w:name="_Toc32760"/>
      <w:bookmarkStart w:id="200" w:name="_Toc14758"/>
      <w:r>
        <w:rPr>
          <w:rFonts w:hint="eastAsia" w:ascii="宋体" w:hAnsi="宋体" w:cs="宋体"/>
          <w:color w:val="auto"/>
        </w:rPr>
        <w:t>5.6无违法违规事项承诺书</w:t>
      </w:r>
      <w:bookmarkEnd w:id="199"/>
      <w:bookmarkEnd w:id="200"/>
    </w:p>
    <w:p>
      <w:pPr>
        <w:ind w:firstLine="0"/>
        <w:jc w:val="center"/>
        <w:rPr>
          <w:rFonts w:ascii="宋体" w:hAnsi="宋体" w:cs="宋体"/>
          <w:b/>
          <w:bCs/>
          <w:color w:val="FF0000"/>
          <w:u w:val="none"/>
        </w:rPr>
      </w:pPr>
      <w:bookmarkStart w:id="201" w:name="_Toc24349"/>
      <w:bookmarkStart w:id="202" w:name="_Toc3930"/>
      <w:r>
        <w:rPr>
          <w:rFonts w:hint="eastAsia" w:ascii="宋体" w:hAnsi="宋体" w:cs="宋体"/>
          <w:b/>
          <w:bCs/>
          <w:sz w:val="30"/>
          <w:szCs w:val="30"/>
          <w:u w:val="none"/>
        </w:rPr>
        <w:t>承诺书</w:t>
      </w:r>
      <w:bookmarkEnd w:id="201"/>
      <w:bookmarkEnd w:id="202"/>
    </w:p>
    <w:p>
      <w:pPr>
        <w:ind w:firstLine="0"/>
        <w:rPr>
          <w:rFonts w:ascii="宋体" w:hAnsi="宋体" w:cs="宋体"/>
          <w:color w:val="FF0000"/>
          <w:u w:val="none"/>
        </w:rPr>
      </w:pPr>
    </w:p>
    <w:p>
      <w:pPr>
        <w:ind w:firstLine="0"/>
        <w:rPr>
          <w:rFonts w:ascii="宋体" w:hAnsi="宋体" w:cs="宋体"/>
          <w:u w:val="none"/>
        </w:rPr>
      </w:pPr>
      <w:bookmarkStart w:id="203" w:name="_Toc11125"/>
      <w:bookmarkStart w:id="204" w:name="_Toc11061"/>
      <w:r>
        <w:rPr>
          <w:rFonts w:hint="eastAsia" w:ascii="宋体" w:hAnsi="宋体" w:cs="宋体"/>
          <w:u w:val="none"/>
        </w:rPr>
        <w:t>太原重型机械集团有限公司：</w:t>
      </w:r>
      <w:bookmarkEnd w:id="203"/>
      <w:bookmarkEnd w:id="204"/>
    </w:p>
    <w:p>
      <w:pPr>
        <w:rPr>
          <w:u w:val="none"/>
        </w:rPr>
      </w:pPr>
      <w:r>
        <w:rPr>
          <w:rFonts w:hint="eastAsia"/>
          <w:u w:val="none"/>
        </w:rPr>
        <w:t>我单位</w:t>
      </w:r>
      <w:r>
        <w:rPr>
          <w:rFonts w:hint="eastAsia"/>
        </w:rPr>
        <w:t>（投标单位</w:t>
      </w:r>
      <w:r>
        <w:t>名称</w:t>
      </w:r>
      <w:r>
        <w:rPr>
          <w:rFonts w:hint="eastAsia"/>
        </w:rPr>
        <w:t>）</w:t>
      </w:r>
      <w:r>
        <w:rPr>
          <w:rFonts w:hint="eastAsia"/>
          <w:u w:val="none"/>
        </w:rPr>
        <w:t>承诺，在近三年开展的资产评估业务中，遵守国家有关资产评估法律、行政法规等政策规定，严格履行法定职责，近三年内机构及其主要负责人无违法违规执业记录，在承担国有资产评估工作中未出现重大质量问题或不良记录。如有不实，我公司愿承担由此产生的一切责任。</w:t>
      </w:r>
    </w:p>
    <w:p>
      <w:pPr>
        <w:rPr>
          <w:u w:val="none"/>
        </w:rPr>
      </w:pPr>
    </w:p>
    <w:p>
      <w:pPr>
        <w:rPr>
          <w:u w:val="none"/>
        </w:rPr>
      </w:pPr>
    </w:p>
    <w:p>
      <w:pPr>
        <w:rPr>
          <w:u w:val="none"/>
        </w:rPr>
      </w:pPr>
    </w:p>
    <w:p>
      <w:pPr>
        <w:rPr>
          <w:u w:val="none"/>
        </w:rPr>
      </w:pPr>
      <w:r>
        <w:rPr>
          <w:rFonts w:hint="eastAsia"/>
          <w:u w:val="none"/>
        </w:rPr>
        <w:t xml:space="preserve">                                                                                       投标单位名称（公章</w:t>
      </w:r>
      <w:r>
        <w:rPr>
          <w:u w:val="none"/>
        </w:rPr>
        <w:t>）</w:t>
      </w:r>
      <w:r>
        <w:rPr>
          <w:rFonts w:hint="eastAsia"/>
          <w:u w:val="none"/>
        </w:rPr>
        <w:t>：</w:t>
      </w:r>
    </w:p>
    <w:p>
      <w:pPr>
        <w:ind w:firstLine="5760" w:firstLineChars="2400"/>
        <w:rPr>
          <w:u w:val="none"/>
        </w:rPr>
      </w:pPr>
      <w:r>
        <w:rPr>
          <w:rFonts w:hint="eastAsia"/>
          <w:u w:val="none"/>
        </w:rPr>
        <w:t xml:space="preserve">        年     月     日</w:t>
      </w:r>
    </w:p>
    <w:p/>
    <w:p/>
    <w:p/>
    <w:p/>
    <w:p/>
    <w:p/>
    <w:p/>
    <w:p/>
    <w:p/>
    <w:p/>
    <w:p/>
    <w:p/>
    <w:p/>
    <w:p/>
    <w:p/>
    <w:p>
      <w:r>
        <w:rPr>
          <w:rFonts w:hint="eastAsia"/>
        </w:rPr>
        <w:t xml:space="preserve">                                                                                    </w:t>
      </w:r>
    </w:p>
    <w:p>
      <w:r>
        <w:rPr>
          <w:rFonts w:hint="eastAsia"/>
          <w:u w:val="none"/>
        </w:rPr>
        <w:t xml:space="preserve">   </w:t>
      </w:r>
      <w:r>
        <w:rPr>
          <w:rFonts w:hint="eastAsia"/>
        </w:rPr>
        <w:t xml:space="preserve">          </w:t>
      </w:r>
    </w:p>
    <w:p>
      <w:pPr>
        <w:ind w:firstLine="0"/>
        <w:rPr>
          <w:rFonts w:ascii="宋体" w:hAnsi="宋体" w:cs="宋体"/>
          <w:color w:val="FF0000"/>
        </w:rPr>
      </w:pPr>
    </w:p>
    <w:p>
      <w:pPr>
        <w:pStyle w:val="4"/>
        <w:ind w:firstLine="482" w:firstLineChars="200"/>
        <w:rPr>
          <w:rFonts w:ascii="宋体" w:hAnsi="宋体" w:cs="宋体"/>
          <w:lang w:val="zh-TW"/>
        </w:rPr>
      </w:pPr>
      <w:bookmarkStart w:id="205" w:name="_Toc4399"/>
      <w:bookmarkStart w:id="206" w:name="_Toc26784"/>
      <w:r>
        <w:rPr>
          <w:rFonts w:hint="eastAsia"/>
        </w:rPr>
        <w:t>5</w:t>
      </w:r>
      <w:r>
        <w:rPr>
          <w:lang w:val="zh-TW"/>
        </w:rPr>
        <w:t>.</w:t>
      </w:r>
      <w:r>
        <w:rPr>
          <w:rFonts w:hint="eastAsia"/>
        </w:rPr>
        <w:t>7</w:t>
      </w:r>
      <w:r>
        <w:rPr>
          <w:lang w:val="zh-TW"/>
        </w:rPr>
        <w:t>实施项目的方案及</w:t>
      </w:r>
      <w:bookmarkEnd w:id="176"/>
      <w:bookmarkEnd w:id="177"/>
      <w:bookmarkEnd w:id="178"/>
      <w:bookmarkEnd w:id="179"/>
      <w:r>
        <w:rPr>
          <w:rFonts w:hint="eastAsia"/>
        </w:rPr>
        <w:t>承诺</w:t>
      </w:r>
      <w:r>
        <w:rPr>
          <w:lang w:val="zh-TW"/>
        </w:rPr>
        <w:t>格式</w:t>
      </w:r>
      <w:bookmarkEnd w:id="180"/>
      <w:bookmarkEnd w:id="181"/>
      <w:bookmarkEnd w:id="205"/>
      <w:bookmarkEnd w:id="206"/>
    </w:p>
    <w:p>
      <w:pPr>
        <w:ind w:firstLine="0"/>
        <w:jc w:val="center"/>
        <w:rPr>
          <w:sz w:val="30"/>
          <w:szCs w:val="30"/>
          <w:lang w:val="zh-TW"/>
        </w:rPr>
      </w:pPr>
      <w:r>
        <w:rPr>
          <w:b/>
          <w:sz w:val="30"/>
          <w:szCs w:val="30"/>
          <w:u w:val="none"/>
          <w:lang w:val="zh-TW" w:eastAsia="zh-TW"/>
        </w:rPr>
        <w:t>实施项目的</w:t>
      </w:r>
      <w:r>
        <w:rPr>
          <w:rFonts w:hint="eastAsia"/>
          <w:b/>
          <w:sz w:val="30"/>
          <w:szCs w:val="30"/>
          <w:u w:val="none"/>
        </w:rPr>
        <w:t>服务</w:t>
      </w:r>
      <w:r>
        <w:rPr>
          <w:b/>
          <w:sz w:val="30"/>
          <w:szCs w:val="30"/>
          <w:u w:val="none"/>
          <w:lang w:val="zh-TW" w:eastAsia="zh-TW"/>
        </w:rPr>
        <w:t>方案及</w:t>
      </w:r>
      <w:r>
        <w:rPr>
          <w:rFonts w:hint="eastAsia"/>
          <w:b/>
          <w:sz w:val="30"/>
          <w:szCs w:val="30"/>
          <w:u w:val="none"/>
        </w:rPr>
        <w:t>承诺</w:t>
      </w:r>
    </w:p>
    <w:p>
      <w:pPr>
        <w:pStyle w:val="3"/>
        <w:numPr>
          <w:ilvl w:val="0"/>
          <w:numId w:val="2"/>
        </w:num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服务方案</w:t>
      </w:r>
    </w:p>
    <w:p>
      <w:pPr>
        <w:pStyle w:val="3"/>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包括但不限于以下内容：</w:t>
      </w:r>
    </w:p>
    <w:p>
      <w:pPr>
        <w:pStyle w:val="3"/>
        <w:spacing w:line="360" w:lineRule="auto"/>
        <w:rPr>
          <w:rFonts w:ascii="宋体" w:hAnsi="宋体" w:eastAsia="宋体" w:cs="宋体"/>
          <w:sz w:val="24"/>
          <w:szCs w:val="24"/>
        </w:rPr>
      </w:pPr>
      <w:r>
        <w:rPr>
          <w:rFonts w:hint="eastAsia" w:ascii="宋体" w:hAnsi="宋体" w:eastAsia="宋体" w:cs="宋体"/>
          <w:sz w:val="24"/>
          <w:szCs w:val="24"/>
        </w:rPr>
        <w:t xml:space="preserve">   1）项目背景；</w:t>
      </w:r>
    </w:p>
    <w:p>
      <w:pPr>
        <w:pStyle w:val="3"/>
        <w:spacing w:line="360" w:lineRule="auto"/>
        <w:rPr>
          <w:rFonts w:ascii="宋体" w:hAnsi="宋体" w:eastAsia="宋体" w:cs="宋体"/>
          <w:sz w:val="24"/>
          <w:szCs w:val="24"/>
        </w:rPr>
      </w:pPr>
      <w:r>
        <w:rPr>
          <w:rFonts w:hint="eastAsia" w:ascii="宋体" w:hAnsi="宋体" w:eastAsia="宋体" w:cs="宋体"/>
          <w:sz w:val="24"/>
          <w:szCs w:val="24"/>
        </w:rPr>
        <w:t xml:space="preserve">   2）工作时间安排；</w:t>
      </w:r>
    </w:p>
    <w:p>
      <w:pPr>
        <w:pStyle w:val="3"/>
        <w:spacing w:line="360" w:lineRule="auto"/>
        <w:rPr>
          <w:rFonts w:ascii="宋体" w:hAnsi="宋体" w:eastAsia="宋体" w:cs="宋体"/>
          <w:sz w:val="24"/>
          <w:szCs w:val="24"/>
        </w:rPr>
      </w:pPr>
      <w:r>
        <w:rPr>
          <w:rFonts w:hint="eastAsia" w:ascii="宋体" w:hAnsi="宋体" w:eastAsia="宋体" w:cs="宋体"/>
          <w:sz w:val="24"/>
          <w:szCs w:val="24"/>
        </w:rPr>
        <w:t xml:space="preserve">   3）人员安排及管理；</w:t>
      </w:r>
    </w:p>
    <w:p>
      <w:pPr>
        <w:pStyle w:val="3"/>
        <w:spacing w:line="360" w:lineRule="auto"/>
        <w:rPr>
          <w:rFonts w:ascii="宋体" w:hAnsi="宋体" w:eastAsia="宋体" w:cs="宋体"/>
          <w:sz w:val="24"/>
          <w:szCs w:val="24"/>
        </w:rPr>
      </w:pPr>
      <w:r>
        <w:rPr>
          <w:rFonts w:hint="eastAsia" w:ascii="宋体" w:hAnsi="宋体" w:eastAsia="宋体" w:cs="宋体"/>
          <w:sz w:val="24"/>
          <w:szCs w:val="24"/>
        </w:rPr>
        <w:t xml:space="preserve">   4）服务质量保障措施；</w:t>
      </w:r>
    </w:p>
    <w:p>
      <w:pPr>
        <w:pStyle w:val="3"/>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二、服务承诺</w:t>
      </w:r>
    </w:p>
    <w:p>
      <w:pPr>
        <w:pStyle w:val="3"/>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主要包括合法合规与规范性专业服务承诺、服从招标人管理及履约承诺、及时配备充足专业人员承诺、评估工作效率和报告质量承诺、评估工作履行保密义务承诺、配合评估项目备案管理承诺、提供评估工作外增值服务承诺等。</w:t>
      </w:r>
    </w:p>
    <w:p>
      <w:pPr>
        <w:pStyle w:val="3"/>
        <w:spacing w:line="360" w:lineRule="auto"/>
        <w:ind w:firstLine="480" w:firstLineChars="200"/>
        <w:rPr>
          <w:rFonts w:ascii="宋体" w:hAnsi="宋体" w:eastAsia="宋体" w:cs="宋体"/>
          <w:sz w:val="24"/>
          <w:szCs w:val="24"/>
        </w:rPr>
      </w:pPr>
    </w:p>
    <w:p>
      <w:pPr>
        <w:pStyle w:val="3"/>
        <w:spacing w:line="360" w:lineRule="auto"/>
        <w:rPr>
          <w:rFonts w:ascii="宋体" w:hAnsi="宋体" w:eastAsia="宋体" w:cs="宋体"/>
          <w:sz w:val="24"/>
          <w:szCs w:val="24"/>
          <w:lang w:val="zh-TW"/>
        </w:rPr>
      </w:pPr>
      <w:r>
        <w:rPr>
          <w:rFonts w:ascii="宋体" w:hAnsi="宋体" w:eastAsia="宋体" w:cs="宋体"/>
          <w:sz w:val="24"/>
          <w:szCs w:val="24"/>
          <w:lang w:val="zh-TW" w:eastAsia="zh-TW"/>
        </w:rPr>
        <w:t>编制应符合以下格式要求：</w:t>
      </w:r>
    </w:p>
    <w:p>
      <w:pPr>
        <w:ind w:firstLineChars="200"/>
        <w:rPr>
          <w:u w:val="none"/>
        </w:rPr>
      </w:pPr>
      <w:r>
        <w:rPr>
          <w:rFonts w:hint="eastAsia"/>
          <w:u w:val="none"/>
        </w:rPr>
        <w:t>正文字体为宋体小四号字，行间距1.5倍行距，段前段后设置为0；表格内字体为宋体小四号字，行间距为单倍行距。</w:t>
      </w:r>
    </w:p>
    <w:p>
      <w:pPr>
        <w:ind w:firstLineChars="200"/>
        <w:rPr>
          <w:u w:val="none"/>
        </w:rPr>
      </w:pPr>
      <w:r>
        <w:rPr>
          <w:rFonts w:hint="eastAsia"/>
          <w:u w:val="none"/>
        </w:rPr>
        <w:t>投标人实施项目的方案及说明</w:t>
      </w:r>
      <w:r>
        <w:rPr>
          <w:u w:val="none"/>
        </w:rPr>
        <w:t>均需放入</w:t>
      </w:r>
      <w:r>
        <w:rPr>
          <w:rFonts w:hint="eastAsia"/>
          <w:u w:val="none"/>
        </w:rPr>
        <w:t>本章节，如有图纸或特别文件无法放入本章的可作为投标文件附件投递。</w:t>
      </w:r>
    </w:p>
    <w:p>
      <w:pPr>
        <w:pStyle w:val="3"/>
        <w:numPr>
          <w:ilvl w:val="0"/>
          <w:numId w:val="3"/>
        </w:numPr>
        <w:spacing w:before="100" w:after="100" w:line="360" w:lineRule="auto"/>
        <w:jc w:val="left"/>
      </w:pPr>
      <w:r>
        <w:rPr>
          <w:rFonts w:ascii="宋体" w:hAnsi="宋体" w:cs="宋体"/>
          <w:lang w:val="zh-TW" w:eastAsia="zh-TW"/>
        </w:rPr>
        <w:br w:type="page"/>
      </w:r>
      <w:bookmarkEnd w:id="5"/>
      <w:bookmarkStart w:id="207" w:name="_Toc10632"/>
      <w:bookmarkStart w:id="208" w:name="_Toc12"/>
      <w:bookmarkStart w:id="209" w:name="_Toc4817"/>
      <w:bookmarkStart w:id="210" w:name="_Toc30003"/>
    </w:p>
    <w:p>
      <w:pPr>
        <w:pStyle w:val="4"/>
        <w:ind w:firstLine="482"/>
        <w:rPr>
          <w:lang w:val="zh-TW"/>
        </w:rPr>
      </w:pPr>
      <w:bookmarkStart w:id="211" w:name="_Toc15315"/>
      <w:bookmarkStart w:id="212" w:name="_Toc4928"/>
      <w:bookmarkStart w:id="213" w:name="_Toc489533814"/>
      <w:r>
        <w:rPr>
          <w:rFonts w:hint="eastAsia"/>
        </w:rPr>
        <w:t>5</w:t>
      </w:r>
      <w:r>
        <w:rPr>
          <w:lang w:val="zh-TW"/>
        </w:rPr>
        <w:t>.</w:t>
      </w:r>
      <w:r>
        <w:rPr>
          <w:rFonts w:hint="eastAsia"/>
        </w:rPr>
        <w:t>8</w:t>
      </w:r>
      <w:r>
        <w:rPr>
          <w:lang w:val="zh-TW"/>
        </w:rPr>
        <w:t>投标文件声明</w:t>
      </w:r>
      <w:bookmarkEnd w:id="207"/>
      <w:bookmarkEnd w:id="208"/>
      <w:bookmarkEnd w:id="209"/>
      <w:bookmarkEnd w:id="210"/>
      <w:r>
        <w:rPr>
          <w:lang w:val="zh-TW"/>
        </w:rPr>
        <w:t>格式</w:t>
      </w:r>
      <w:bookmarkEnd w:id="211"/>
      <w:bookmarkEnd w:id="212"/>
      <w:bookmarkEnd w:id="213"/>
    </w:p>
    <w:p>
      <w:pPr>
        <w:pStyle w:val="3"/>
        <w:jc w:val="center"/>
        <w:rPr>
          <w:rFonts w:ascii="宋体" w:hAnsi="宋体" w:eastAsia="宋体" w:cs="宋体"/>
          <w:b/>
          <w:bCs/>
          <w:sz w:val="24"/>
          <w:szCs w:val="24"/>
        </w:rPr>
      </w:pPr>
    </w:p>
    <w:p>
      <w:pPr>
        <w:pStyle w:val="3"/>
        <w:spacing w:line="360" w:lineRule="auto"/>
        <w:jc w:val="center"/>
        <w:rPr>
          <w:rFonts w:ascii="宋体" w:hAnsi="宋体" w:eastAsia="宋体" w:cs="宋体"/>
          <w:b/>
          <w:bCs/>
          <w:sz w:val="30"/>
          <w:szCs w:val="30"/>
          <w:lang w:val="zh-TW"/>
        </w:rPr>
      </w:pPr>
      <w:r>
        <w:rPr>
          <w:rFonts w:ascii="宋体" w:hAnsi="宋体" w:eastAsia="宋体" w:cs="宋体"/>
          <w:b/>
          <w:bCs/>
          <w:sz w:val="30"/>
          <w:szCs w:val="30"/>
          <w:lang w:val="zh-TW" w:eastAsia="zh-TW"/>
        </w:rPr>
        <w:t>投标文件声明</w:t>
      </w:r>
    </w:p>
    <w:p>
      <w:pPr>
        <w:pStyle w:val="3"/>
        <w:jc w:val="center"/>
        <w:rPr>
          <w:rFonts w:ascii="宋体" w:hAnsi="宋体" w:eastAsia="宋体" w:cs="宋体"/>
          <w:b/>
          <w:bCs/>
          <w:sz w:val="24"/>
          <w:szCs w:val="24"/>
          <w:lang w:val="zh-TW"/>
        </w:rPr>
      </w:pPr>
    </w:p>
    <w:p>
      <w:pPr>
        <w:pStyle w:val="3"/>
        <w:spacing w:line="360" w:lineRule="auto"/>
        <w:rPr>
          <w:rFonts w:ascii="宋体" w:hAnsi="宋体" w:eastAsia="宋体" w:cs="宋体"/>
          <w:sz w:val="24"/>
          <w:szCs w:val="24"/>
        </w:rPr>
      </w:pPr>
      <w:r>
        <w:rPr>
          <w:rFonts w:hint="eastAsia" w:ascii="宋体" w:hAnsi="宋体" w:eastAsia="宋体" w:cs="宋体"/>
          <w:sz w:val="24"/>
          <w:szCs w:val="24"/>
          <w:lang w:eastAsia="zh-TW"/>
        </w:rPr>
        <w:t>致：</w:t>
      </w:r>
      <w:r>
        <w:rPr>
          <w:rFonts w:hint="eastAsia" w:ascii="宋体" w:hAnsi="宋体" w:eastAsia="宋体" w:cs="宋体"/>
          <w:sz w:val="24"/>
          <w:szCs w:val="24"/>
        </w:rPr>
        <w:t>太原重型机械集团有限公司</w:t>
      </w:r>
    </w:p>
    <w:p>
      <w:pPr>
        <w:pStyle w:val="3"/>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1.</w:t>
      </w:r>
      <w:r>
        <w:rPr>
          <w:rFonts w:ascii="宋体" w:hAnsi="宋体" w:eastAsia="宋体" w:cs="宋体"/>
          <w:sz w:val="24"/>
          <w:szCs w:val="24"/>
          <w:lang w:val="zh-TW" w:eastAsia="zh-TW"/>
        </w:rPr>
        <w:t>我单位愿遵守</w:t>
      </w:r>
      <w:r>
        <w:rPr>
          <w:rFonts w:hint="eastAsia" w:ascii="宋体" w:hAnsi="宋体" w:eastAsia="宋体" w:cs="宋体"/>
          <w:sz w:val="24"/>
          <w:szCs w:val="24"/>
          <w:u w:val="single"/>
        </w:rPr>
        <w:t>太原重型机械集团有限公司公开选聘资产评估机构备选库项目</w:t>
      </w:r>
      <w:r>
        <w:rPr>
          <w:rFonts w:hint="eastAsia" w:asciiTheme="minorEastAsia" w:hAnsiTheme="minorEastAsia" w:eastAsiaTheme="minorEastAsia"/>
          <w:sz w:val="24"/>
          <w:szCs w:val="24"/>
          <w:u w:val="single"/>
        </w:rPr>
        <w:t>（招标项目编号：       ）</w:t>
      </w:r>
      <w:r>
        <w:rPr>
          <w:rFonts w:ascii="宋体" w:hAnsi="宋体" w:eastAsia="宋体" w:cs="宋体"/>
          <w:sz w:val="24"/>
          <w:szCs w:val="24"/>
          <w:lang w:val="zh-TW" w:eastAsia="zh-TW"/>
        </w:rPr>
        <w:t>招标文件中的所有要求（在投标文件中声明有偏离的内容除外）。</w:t>
      </w:r>
    </w:p>
    <w:p>
      <w:pPr>
        <w:pStyle w:val="3"/>
        <w:spacing w:line="360" w:lineRule="auto"/>
        <w:rPr>
          <w:rFonts w:ascii="宋体" w:hAnsi="宋体" w:eastAsia="宋体" w:cs="宋体"/>
          <w:b/>
          <w:bCs/>
          <w:sz w:val="24"/>
          <w:szCs w:val="24"/>
        </w:rPr>
      </w:pPr>
      <w:r>
        <w:rPr>
          <w:rFonts w:hint="eastAsia" w:ascii="宋体" w:hAnsi="宋体" w:eastAsia="宋体" w:cs="宋体"/>
          <w:b/>
          <w:bCs/>
          <w:sz w:val="24"/>
          <w:szCs w:val="24"/>
        </w:rPr>
        <w:t xml:space="preserve">    2.</w:t>
      </w:r>
      <w:r>
        <w:rPr>
          <w:rFonts w:ascii="宋体" w:hAnsi="宋体" w:eastAsia="宋体" w:cs="宋体"/>
          <w:sz w:val="24"/>
          <w:szCs w:val="24"/>
          <w:lang w:val="zh-TW" w:eastAsia="zh-TW"/>
        </w:rPr>
        <w:t>我单位投标文件电子版与纸质版一致，如有偏差以纸质版文件为准。</w:t>
      </w:r>
    </w:p>
    <w:p>
      <w:pPr>
        <w:pStyle w:val="3"/>
        <w:spacing w:line="360" w:lineRule="auto"/>
        <w:rPr>
          <w:rFonts w:ascii="宋体" w:hAnsi="宋体" w:eastAsia="宋体" w:cs="宋体"/>
          <w:b/>
          <w:bCs/>
          <w:sz w:val="24"/>
          <w:szCs w:val="24"/>
        </w:rPr>
      </w:pPr>
      <w:r>
        <w:rPr>
          <w:rFonts w:hint="eastAsia" w:ascii="宋体" w:hAnsi="宋体" w:eastAsia="宋体" w:cs="宋体"/>
          <w:b/>
          <w:bCs/>
          <w:sz w:val="24"/>
          <w:szCs w:val="24"/>
        </w:rPr>
        <w:t xml:space="preserve">    3.</w:t>
      </w:r>
      <w:r>
        <w:rPr>
          <w:rFonts w:ascii="宋体" w:hAnsi="宋体" w:eastAsia="宋体" w:cs="宋体"/>
          <w:sz w:val="24"/>
          <w:szCs w:val="24"/>
          <w:lang w:val="zh-TW" w:eastAsia="zh-TW"/>
        </w:rPr>
        <w:t>我单位</w:t>
      </w:r>
      <w:r>
        <w:rPr>
          <w:rFonts w:hint="eastAsia" w:ascii="宋体" w:hAnsi="宋体" w:eastAsia="宋体" w:cs="宋体"/>
          <w:sz w:val="24"/>
          <w:szCs w:val="24"/>
          <w:lang w:val="zh-TW"/>
        </w:rPr>
        <w:t>没有处于被责令停业的状态；没有处于财产被接管、冻结、破产的状态；</w:t>
      </w:r>
      <w:r>
        <w:rPr>
          <w:rFonts w:ascii="宋体" w:hAnsi="宋体" w:eastAsia="宋体" w:cs="宋体"/>
          <w:sz w:val="24"/>
          <w:szCs w:val="24"/>
          <w:lang w:val="zh-TW" w:eastAsia="zh-TW"/>
        </w:rPr>
        <w:t>我单位及法人</w:t>
      </w:r>
      <w:r>
        <w:rPr>
          <w:rFonts w:hint="eastAsia" w:ascii="宋体" w:hAnsi="宋体" w:eastAsia="宋体" w:cs="宋体"/>
          <w:sz w:val="24"/>
          <w:szCs w:val="24"/>
          <w:lang w:val="zh-TW"/>
        </w:rPr>
        <w:t>代表近三年内</w:t>
      </w:r>
      <w:r>
        <w:rPr>
          <w:rFonts w:hint="eastAsia" w:ascii="宋体" w:hAnsi="宋体" w:eastAsia="宋体" w:cs="宋体"/>
          <w:sz w:val="24"/>
          <w:szCs w:val="24"/>
        </w:rPr>
        <w:t>(</w:t>
      </w:r>
      <w:r>
        <w:rPr>
          <w:rFonts w:hint="eastAsia" w:ascii="宋体" w:hAnsi="宋体" w:eastAsia="宋体" w:cs="宋体"/>
          <w:sz w:val="24"/>
          <w:szCs w:val="24"/>
          <w:lang w:val="zh-TW"/>
        </w:rPr>
        <w:t>距本次投标日期</w:t>
      </w:r>
      <w:r>
        <w:rPr>
          <w:rFonts w:hint="eastAsia" w:ascii="宋体" w:hAnsi="宋体" w:eastAsia="宋体" w:cs="宋体"/>
          <w:sz w:val="24"/>
          <w:szCs w:val="24"/>
        </w:rPr>
        <w:t>)</w:t>
      </w:r>
      <w:r>
        <w:rPr>
          <w:rFonts w:ascii="宋体" w:hAnsi="宋体" w:eastAsia="宋体" w:cs="宋体"/>
          <w:sz w:val="24"/>
          <w:szCs w:val="24"/>
          <w:lang w:val="zh-TW" w:eastAsia="zh-TW"/>
        </w:rPr>
        <w:t>无商业贿赂行为</w:t>
      </w:r>
      <w:r>
        <w:rPr>
          <w:rFonts w:hint="eastAsia" w:ascii="宋体" w:hAnsi="宋体" w:eastAsia="宋体" w:cs="宋体"/>
          <w:sz w:val="24"/>
          <w:szCs w:val="24"/>
          <w:lang w:val="zh-TW"/>
        </w:rPr>
        <w:t>记录以</w:t>
      </w:r>
      <w:r>
        <w:rPr>
          <w:rFonts w:ascii="宋体" w:hAnsi="宋体" w:eastAsia="宋体" w:cs="宋体"/>
          <w:sz w:val="24"/>
          <w:szCs w:val="24"/>
          <w:lang w:val="zh-TW" w:eastAsia="zh-TW"/>
        </w:rPr>
        <w:t>及与招</w:t>
      </w:r>
      <w:r>
        <w:rPr>
          <w:rFonts w:hint="eastAsia" w:ascii="宋体" w:hAnsi="宋体" w:eastAsia="宋体" w:cs="宋体"/>
          <w:sz w:val="24"/>
          <w:szCs w:val="24"/>
          <w:lang w:val="zh-TW"/>
        </w:rPr>
        <w:t>、</w:t>
      </w:r>
      <w:r>
        <w:rPr>
          <w:rFonts w:ascii="宋体" w:hAnsi="宋体" w:eastAsia="宋体" w:cs="宋体"/>
          <w:sz w:val="24"/>
          <w:szCs w:val="24"/>
          <w:lang w:val="zh-TW" w:eastAsia="zh-TW"/>
        </w:rPr>
        <w:t>投标有关的违法、违纪</w:t>
      </w:r>
      <w:r>
        <w:rPr>
          <w:rFonts w:hint="eastAsia" w:ascii="宋体" w:hAnsi="宋体" w:eastAsia="宋体" w:cs="宋体"/>
          <w:sz w:val="24"/>
          <w:szCs w:val="24"/>
          <w:lang w:val="zh-TW"/>
        </w:rPr>
        <w:t>、违规、违约等不良记录</w:t>
      </w:r>
      <w:r>
        <w:rPr>
          <w:rFonts w:ascii="宋体" w:hAnsi="宋体" w:eastAsia="宋体" w:cs="宋体"/>
          <w:sz w:val="24"/>
          <w:szCs w:val="24"/>
          <w:lang w:val="zh-TW" w:eastAsia="zh-TW"/>
        </w:rPr>
        <w:t>。</w:t>
      </w:r>
    </w:p>
    <w:p>
      <w:pPr>
        <w:pStyle w:val="3"/>
        <w:spacing w:line="360" w:lineRule="auto"/>
        <w:rPr>
          <w:rFonts w:ascii="宋体" w:hAnsi="宋体" w:eastAsia="宋体" w:cs="宋体"/>
          <w:b/>
          <w:bCs/>
          <w:sz w:val="24"/>
          <w:szCs w:val="24"/>
        </w:rPr>
      </w:pPr>
      <w:r>
        <w:rPr>
          <w:rFonts w:hint="eastAsia" w:ascii="宋体" w:hAnsi="宋体" w:eastAsia="宋体" w:cs="宋体"/>
          <w:b/>
          <w:bCs/>
          <w:sz w:val="24"/>
          <w:szCs w:val="24"/>
        </w:rPr>
        <w:t xml:space="preserve">    4.</w:t>
      </w:r>
      <w:r>
        <w:rPr>
          <w:rFonts w:hint="eastAsia" w:ascii="宋体" w:hAnsi="宋体" w:eastAsia="宋体" w:cs="宋体"/>
          <w:sz w:val="24"/>
          <w:szCs w:val="24"/>
          <w:lang w:val="zh-TW"/>
        </w:rPr>
        <w:t>我单位承诺在此次投标活动</w:t>
      </w:r>
      <w:r>
        <w:rPr>
          <w:rFonts w:ascii="宋体" w:hAnsi="宋体" w:eastAsia="宋体" w:cs="宋体"/>
          <w:sz w:val="24"/>
          <w:szCs w:val="24"/>
          <w:lang w:val="zh-TW"/>
        </w:rPr>
        <w:t>中</w:t>
      </w:r>
      <w:r>
        <w:rPr>
          <w:rFonts w:hint="eastAsia" w:ascii="宋体" w:hAnsi="宋体" w:eastAsia="宋体" w:cs="宋体"/>
          <w:sz w:val="24"/>
          <w:szCs w:val="24"/>
          <w:lang w:val="zh-TW"/>
        </w:rPr>
        <w:t>不进行</w:t>
      </w:r>
      <w:r>
        <w:rPr>
          <w:rFonts w:ascii="宋体" w:hAnsi="宋体" w:eastAsia="宋体" w:cs="宋体"/>
          <w:sz w:val="24"/>
          <w:szCs w:val="24"/>
          <w:lang w:val="zh-TW" w:eastAsia="zh-TW"/>
        </w:rPr>
        <w:t>商业贿赂及</w:t>
      </w:r>
      <w:r>
        <w:rPr>
          <w:rFonts w:hint="eastAsia" w:ascii="宋体" w:hAnsi="宋体" w:eastAsia="宋体" w:cs="宋体"/>
          <w:sz w:val="24"/>
          <w:szCs w:val="24"/>
          <w:lang w:val="zh-TW"/>
        </w:rPr>
        <w:t>其他违规、</w:t>
      </w:r>
      <w:r>
        <w:rPr>
          <w:rFonts w:ascii="宋体" w:hAnsi="宋体" w:eastAsia="宋体" w:cs="宋体"/>
          <w:sz w:val="24"/>
          <w:szCs w:val="24"/>
          <w:lang w:val="zh-TW" w:eastAsia="zh-TW"/>
        </w:rPr>
        <w:t>违纪</w:t>
      </w:r>
      <w:r>
        <w:rPr>
          <w:rFonts w:hint="eastAsia" w:ascii="宋体" w:hAnsi="宋体" w:eastAsia="宋体" w:cs="宋体"/>
          <w:sz w:val="24"/>
          <w:szCs w:val="24"/>
          <w:lang w:val="zh-TW"/>
        </w:rPr>
        <w:t>、</w:t>
      </w:r>
      <w:r>
        <w:rPr>
          <w:rFonts w:ascii="宋体" w:hAnsi="宋体" w:eastAsia="宋体" w:cs="宋体"/>
          <w:sz w:val="24"/>
          <w:szCs w:val="24"/>
          <w:lang w:val="zh-TW" w:eastAsia="zh-TW"/>
        </w:rPr>
        <w:t>违法行为。</w:t>
      </w:r>
    </w:p>
    <w:p>
      <w:pPr>
        <w:pStyle w:val="3"/>
        <w:spacing w:line="360" w:lineRule="auto"/>
        <w:rPr>
          <w:rFonts w:ascii="宋体" w:hAnsi="宋体" w:eastAsia="宋体" w:cs="宋体"/>
          <w:b/>
          <w:bCs/>
          <w:sz w:val="24"/>
          <w:szCs w:val="24"/>
        </w:rPr>
      </w:pPr>
      <w:r>
        <w:rPr>
          <w:rFonts w:hint="eastAsia" w:ascii="宋体" w:hAnsi="宋体" w:eastAsia="宋体" w:cs="宋体"/>
          <w:b/>
          <w:bCs/>
          <w:sz w:val="24"/>
          <w:szCs w:val="24"/>
        </w:rPr>
        <w:t xml:space="preserve">    5.</w:t>
      </w:r>
      <w:r>
        <w:rPr>
          <w:rFonts w:ascii="宋体" w:hAnsi="宋体" w:eastAsia="宋体" w:cs="宋体"/>
          <w:sz w:val="24"/>
          <w:szCs w:val="24"/>
          <w:lang w:val="zh-TW" w:eastAsia="zh-TW"/>
        </w:rPr>
        <w:t>我单位所提供的投标</w:t>
      </w:r>
      <w:r>
        <w:rPr>
          <w:rFonts w:hint="eastAsia" w:ascii="宋体" w:hAnsi="宋体" w:eastAsia="宋体" w:cs="宋体"/>
          <w:sz w:val="24"/>
          <w:szCs w:val="24"/>
          <w:lang w:val="zh-TW"/>
        </w:rPr>
        <w:t>文件及</w:t>
      </w:r>
      <w:r>
        <w:rPr>
          <w:rFonts w:ascii="宋体" w:hAnsi="宋体" w:eastAsia="宋体" w:cs="宋体"/>
          <w:sz w:val="24"/>
          <w:szCs w:val="24"/>
          <w:lang w:val="zh-TW"/>
        </w:rPr>
        <w:t>附件</w:t>
      </w:r>
      <w:r>
        <w:rPr>
          <w:rFonts w:ascii="宋体" w:hAnsi="宋体" w:eastAsia="宋体" w:cs="宋体"/>
          <w:sz w:val="24"/>
          <w:szCs w:val="24"/>
          <w:lang w:val="zh-TW" w:eastAsia="zh-TW"/>
        </w:rPr>
        <w:t>内容真实、有效</w:t>
      </w:r>
      <w:r>
        <w:rPr>
          <w:rFonts w:hint="eastAsia" w:ascii="宋体" w:hAnsi="宋体" w:eastAsia="宋体" w:cs="宋体"/>
          <w:sz w:val="24"/>
          <w:szCs w:val="24"/>
          <w:lang w:val="zh-TW"/>
        </w:rPr>
        <w:t>。</w:t>
      </w:r>
    </w:p>
    <w:p>
      <w:pPr>
        <w:pStyle w:val="3"/>
        <w:spacing w:line="360" w:lineRule="auto"/>
        <w:rPr>
          <w:rFonts w:ascii="宋体" w:hAnsi="宋体" w:eastAsia="宋体" w:cs="宋体"/>
          <w:b/>
          <w:bCs/>
          <w:sz w:val="24"/>
          <w:szCs w:val="24"/>
        </w:rPr>
      </w:pPr>
      <w:r>
        <w:rPr>
          <w:rFonts w:hint="eastAsia" w:ascii="宋体" w:hAnsi="宋体" w:eastAsia="宋体" w:cs="宋体"/>
          <w:b/>
          <w:bCs/>
          <w:sz w:val="24"/>
          <w:szCs w:val="24"/>
        </w:rPr>
        <w:t xml:space="preserve">    6.</w:t>
      </w:r>
      <w:r>
        <w:rPr>
          <w:rFonts w:hint="eastAsia" w:ascii="宋体" w:hAnsi="宋体" w:eastAsia="宋体" w:cs="宋体"/>
          <w:sz w:val="24"/>
          <w:szCs w:val="24"/>
          <w:lang w:val="zh-TW"/>
        </w:rPr>
        <w:t>投标过程中，</w:t>
      </w:r>
      <w:r>
        <w:rPr>
          <w:rFonts w:ascii="宋体" w:hAnsi="宋体" w:eastAsia="宋体" w:cs="宋体"/>
          <w:sz w:val="24"/>
          <w:szCs w:val="24"/>
          <w:lang w:val="zh-TW" w:eastAsia="zh-TW"/>
        </w:rPr>
        <w:t>我单位</w:t>
      </w:r>
      <w:r>
        <w:rPr>
          <w:rFonts w:ascii="宋体" w:hAnsi="宋体" w:eastAsia="宋体" w:cs="宋体"/>
          <w:color w:val="auto"/>
          <w:sz w:val="24"/>
          <w:szCs w:val="24"/>
          <w:lang w:val="zh-TW" w:eastAsia="zh-TW"/>
        </w:rPr>
        <w:t>被授权代表的手写签名</w:t>
      </w:r>
      <w:r>
        <w:rPr>
          <w:rFonts w:hint="eastAsia" w:ascii="宋体" w:hAnsi="宋体" w:eastAsia="宋体" w:cs="宋体"/>
          <w:color w:val="auto"/>
          <w:sz w:val="24"/>
          <w:szCs w:val="24"/>
          <w:lang w:val="zh-TW"/>
        </w:rPr>
        <w:t>文件与加盖了</w:t>
      </w:r>
      <w:r>
        <w:rPr>
          <w:rFonts w:hint="eastAsia" w:ascii="宋体" w:hAnsi="宋体" w:eastAsia="宋体" w:cs="宋体"/>
          <w:sz w:val="24"/>
        </w:rPr>
        <w:t>公章或投标专用章的文件</w:t>
      </w:r>
      <w:r>
        <w:rPr>
          <w:rFonts w:ascii="宋体" w:hAnsi="宋体" w:eastAsia="宋体" w:cs="宋体"/>
          <w:color w:val="auto"/>
          <w:sz w:val="24"/>
          <w:szCs w:val="24"/>
          <w:lang w:val="zh-TW" w:eastAsia="zh-TW"/>
        </w:rPr>
        <w:t>具有同等的法律效力。</w:t>
      </w:r>
    </w:p>
    <w:p>
      <w:pPr>
        <w:pStyle w:val="3"/>
        <w:spacing w:line="360" w:lineRule="auto"/>
        <w:ind w:firstLine="480" w:firstLineChars="200"/>
        <w:rPr>
          <w:rFonts w:ascii="宋体" w:hAnsi="宋体" w:eastAsia="宋体" w:cs="宋体"/>
          <w:b/>
          <w:bCs/>
          <w:sz w:val="24"/>
          <w:szCs w:val="24"/>
        </w:rPr>
      </w:pPr>
      <w:r>
        <w:rPr>
          <w:rFonts w:ascii="宋体" w:hAnsi="宋体" w:eastAsia="宋体" w:cs="宋体"/>
          <w:sz w:val="24"/>
          <w:szCs w:val="24"/>
          <w:lang w:val="zh-TW" w:eastAsia="zh-TW"/>
        </w:rPr>
        <w:t>以上声明仅限</w:t>
      </w:r>
      <w:r>
        <w:rPr>
          <w:rFonts w:hint="eastAsia" w:asciiTheme="minorEastAsia" w:hAnsiTheme="minorEastAsia" w:eastAsiaTheme="minorEastAsia"/>
          <w:sz w:val="24"/>
          <w:szCs w:val="24"/>
          <w:u w:val="single"/>
        </w:rPr>
        <w:t>太原重型机械集团有限公司公开选聘调整资产评估机构备选库项目（招标项目编号：              ）</w:t>
      </w:r>
      <w:r>
        <w:rPr>
          <w:rFonts w:ascii="宋体" w:hAnsi="宋体" w:eastAsia="宋体" w:cs="宋体"/>
          <w:sz w:val="24"/>
          <w:szCs w:val="24"/>
          <w:lang w:val="zh-TW" w:eastAsia="zh-TW"/>
        </w:rPr>
        <w:t>的投标活动有效</w:t>
      </w:r>
      <w:r>
        <w:rPr>
          <w:rFonts w:hint="eastAsia" w:ascii="宋体" w:hAnsi="宋体" w:eastAsia="宋体" w:cs="宋体"/>
          <w:sz w:val="24"/>
          <w:szCs w:val="24"/>
          <w:lang w:val="zh-TW"/>
        </w:rPr>
        <w:t>。</w:t>
      </w:r>
    </w:p>
    <w:p>
      <w:pPr>
        <w:pStyle w:val="3"/>
        <w:spacing w:line="360" w:lineRule="auto"/>
        <w:ind w:firstLine="480"/>
        <w:jc w:val="left"/>
        <w:rPr>
          <w:rFonts w:ascii="宋体" w:hAnsi="宋体" w:eastAsia="宋体" w:cs="宋体"/>
          <w:sz w:val="24"/>
          <w:szCs w:val="24"/>
          <w:lang w:val="zh-TW" w:eastAsia="zh-TW"/>
        </w:rPr>
      </w:pPr>
      <w:r>
        <w:rPr>
          <w:rFonts w:ascii="宋体" w:hAnsi="宋体" w:eastAsia="宋体" w:cs="宋体"/>
          <w:sz w:val="24"/>
          <w:szCs w:val="24"/>
          <w:lang w:val="zh-TW" w:eastAsia="zh-TW"/>
        </w:rPr>
        <w:t>如我单位违反上述声明或声明与事实不符的，</w:t>
      </w:r>
      <w:r>
        <w:rPr>
          <w:rFonts w:hint="eastAsia" w:ascii="宋体" w:hAnsi="宋体" w:eastAsia="宋体" w:cs="宋体"/>
          <w:sz w:val="24"/>
          <w:szCs w:val="24"/>
          <w:lang w:val="zh-TW"/>
        </w:rPr>
        <w:t>经查实，</w:t>
      </w:r>
      <w:r>
        <w:rPr>
          <w:rFonts w:ascii="宋体" w:hAnsi="宋体" w:eastAsia="宋体" w:cs="宋体"/>
          <w:sz w:val="24"/>
          <w:szCs w:val="24"/>
          <w:lang w:val="zh-TW" w:eastAsia="zh-TW"/>
        </w:rPr>
        <w:t>我单位愿承担由此造成的</w:t>
      </w:r>
      <w:r>
        <w:rPr>
          <w:rFonts w:hint="eastAsia" w:ascii="宋体" w:hAnsi="宋体" w:eastAsia="宋体" w:cs="宋体"/>
          <w:sz w:val="24"/>
          <w:szCs w:val="24"/>
          <w:lang w:val="zh-TW"/>
        </w:rPr>
        <w:t>法律</w:t>
      </w:r>
      <w:r>
        <w:rPr>
          <w:rFonts w:ascii="宋体" w:hAnsi="宋体" w:eastAsia="宋体" w:cs="宋体"/>
          <w:sz w:val="24"/>
          <w:szCs w:val="24"/>
          <w:lang w:val="zh-TW" w:eastAsia="zh-TW"/>
        </w:rPr>
        <w:t>责任及相关损失</w:t>
      </w:r>
      <w:r>
        <w:rPr>
          <w:rFonts w:hint="eastAsia" w:ascii="宋体" w:hAnsi="宋体" w:eastAsia="宋体" w:cs="宋体"/>
          <w:sz w:val="24"/>
          <w:szCs w:val="24"/>
          <w:lang w:val="zh-TW"/>
        </w:rPr>
        <w:t>。</w:t>
      </w:r>
    </w:p>
    <w:p>
      <w:pPr>
        <w:pStyle w:val="3"/>
        <w:spacing w:line="360" w:lineRule="auto"/>
        <w:ind w:firstLine="480"/>
        <w:jc w:val="left"/>
        <w:rPr>
          <w:rFonts w:ascii="宋体" w:hAnsi="宋体" w:eastAsia="宋体" w:cs="宋体"/>
          <w:sz w:val="24"/>
          <w:szCs w:val="24"/>
          <w:lang w:val="zh-TW"/>
        </w:rPr>
      </w:pPr>
      <w:r>
        <w:rPr>
          <w:rFonts w:ascii="宋体" w:hAnsi="宋体" w:eastAsia="宋体" w:cs="宋体"/>
          <w:sz w:val="24"/>
          <w:szCs w:val="24"/>
          <w:lang w:val="zh-TW" w:eastAsia="zh-TW"/>
        </w:rPr>
        <w:t>特此声明</w:t>
      </w:r>
      <w:r>
        <w:rPr>
          <w:rFonts w:hint="eastAsia" w:ascii="宋体" w:hAnsi="宋体" w:eastAsia="宋体" w:cs="宋体"/>
          <w:sz w:val="24"/>
          <w:szCs w:val="24"/>
          <w:lang w:val="zh-TW"/>
        </w:rPr>
        <w:t>。</w:t>
      </w:r>
    </w:p>
    <w:p>
      <w:pPr>
        <w:pStyle w:val="3"/>
        <w:spacing w:line="360" w:lineRule="auto"/>
        <w:ind w:firstLine="480"/>
        <w:jc w:val="left"/>
        <w:rPr>
          <w:rFonts w:ascii="宋体" w:hAnsi="宋体" w:eastAsia="宋体" w:cs="宋体"/>
          <w:sz w:val="24"/>
          <w:szCs w:val="24"/>
          <w:lang w:val="zh-TW"/>
        </w:rPr>
      </w:pPr>
    </w:p>
    <w:p>
      <w:pPr>
        <w:pStyle w:val="3"/>
        <w:spacing w:line="360" w:lineRule="auto"/>
        <w:ind w:firstLine="480"/>
        <w:jc w:val="left"/>
        <w:rPr>
          <w:rFonts w:ascii="宋体" w:hAnsi="宋体" w:eastAsia="宋体" w:cs="宋体"/>
          <w:sz w:val="24"/>
          <w:szCs w:val="24"/>
          <w:lang w:val="zh-TW"/>
        </w:rPr>
      </w:pPr>
    </w:p>
    <w:p>
      <w:pPr>
        <w:ind w:right="960"/>
        <w:jc w:val="right"/>
        <w:rPr>
          <w:u w:val="none"/>
        </w:rPr>
      </w:pPr>
      <w:r>
        <w:rPr>
          <w:rFonts w:hint="eastAsia"/>
          <w:u w:val="none"/>
        </w:rPr>
        <w:t>法定代表人签字（或盖法人章）：</w:t>
      </w:r>
    </w:p>
    <w:p>
      <w:pPr>
        <w:ind w:right="240"/>
        <w:jc w:val="right"/>
        <w:rPr>
          <w:u w:val="none"/>
        </w:rPr>
      </w:pPr>
      <w:r>
        <w:rPr>
          <w:rFonts w:hint="eastAsia"/>
          <w:u w:val="none"/>
        </w:rPr>
        <w:t>被授权人签字（法定代表人参加除外）：</w:t>
      </w:r>
    </w:p>
    <w:p>
      <w:pPr>
        <w:ind w:right="480"/>
        <w:jc w:val="right"/>
        <w:rPr>
          <w:u w:val="none"/>
        </w:rPr>
      </w:pPr>
      <w:r>
        <w:rPr>
          <w:rFonts w:hint="eastAsia"/>
          <w:u w:val="none"/>
        </w:rPr>
        <w:t>投标单位名称（公章或投标专用章）：</w:t>
      </w:r>
    </w:p>
    <w:p>
      <w:pPr>
        <w:ind w:right="960" w:firstLine="4320" w:firstLineChars="1800"/>
        <w:rPr>
          <w:u w:val="none"/>
        </w:rPr>
      </w:pPr>
      <w:r>
        <w:rPr>
          <w:rFonts w:hint="eastAsia"/>
          <w:u w:val="none"/>
        </w:rPr>
        <w:t>日期：     年     月    日</w:t>
      </w:r>
    </w:p>
    <w:p>
      <w:pPr>
        <w:pStyle w:val="3"/>
        <w:spacing w:before="240" w:after="240" w:line="480" w:lineRule="atLeast"/>
        <w:rPr>
          <w:rFonts w:ascii="宋体" w:hAnsi="宋体" w:eastAsia="宋体" w:cs="宋体"/>
          <w:sz w:val="24"/>
          <w:szCs w:val="24"/>
          <w:lang w:val="zh-TW" w:eastAsia="zh-TW"/>
        </w:rPr>
      </w:pPr>
    </w:p>
    <w:sectPr>
      <w:headerReference r:id="rId13" w:type="first"/>
      <w:footerReference r:id="rId15" w:type="first"/>
      <w:footerReference r:id="rId14" w:type="default"/>
      <w:pgSz w:w="11900" w:h="16840"/>
      <w:pgMar w:top="1474" w:right="1701" w:bottom="1418" w:left="1758" w:header="851" w:footer="1134"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Helvetica">
    <w:panose1 w:val="020B0604020202020204"/>
    <w:charset w:val="00"/>
    <w:family w:val="swiss"/>
    <w:pitch w:val="default"/>
    <w:sig w:usb0="00000000" w:usb1="00000000" w:usb2="00000000" w:usb3="00000000" w:csb0="00000000" w:csb1="00000000"/>
  </w:font>
  <w:font w:name="Courier New">
    <w:panose1 w:val="02070309020205020404"/>
    <w:charset w:val="00"/>
    <w:family w:val="modern"/>
    <w:pitch w:val="default"/>
    <w:sig w:usb0="E0002E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3075" o:spid="_x0000_s3075" o:spt="202" type="#_x0000_t202" style="position:absolute;left:0pt;margin-top:7.45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220"/>
        <w:tab w:val="clear" w:pos="4153"/>
      </w:tabs>
    </w:pPr>
    <w:r>
      <w:pict>
        <v:shape id="_x0000_s3073" o:spid="_x0000_s3073"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pPr>
                  <w:pStyle w:val="15"/>
                </w:pPr>
              </w:p>
              <w:p>
                <w:pPr>
                  <w:pStyle w:val="15"/>
                </w:pPr>
              </w:p>
            </w:txbxContent>
          </v:textbox>
        </v:shape>
      </w:pict>
    </w:r>
    <w:r>
      <w:pict>
        <v:shape id="_x0000_s3074" o:spid="_x0000_s3074"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15"/>
                </w:pPr>
              </w:p>
              <w:p>
                <w:pPr>
                  <w:pStyle w:val="15"/>
                </w:pP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3093" o:spid="_x0000_s3093" o:spt="202" type="#_x0000_t202" style="position:absolute;left:0pt;margin-top:7.45pt;height:144pt;width:144pt;mso-position-horizontal:center;mso-position-horizontal-relative:margin;mso-wrap-style:none;z-index:251666432;mso-width-relative:page;mso-height-relative:page;" filled="f" stroked="f" coordsize="21600,21600">
          <v:path/>
          <v:fill on="f" focussize="0,0"/>
          <v:stroke on="f" joinstyle="miter"/>
          <v:imagedata o:title=""/>
          <o:lock v:ext="edit"/>
          <v:textbox inset="0mm,0mm,0mm,0mm" style="mso-fit-shape-to-text:t;">
            <w:txbxContent>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220"/>
        <w:tab w:val="clear" w:pos="4153"/>
      </w:tabs>
    </w:pPr>
    <w:r>
      <w:pict>
        <v:shape id="_x0000_s3095" o:spid="_x0000_s3095"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joinstyle="miter"/>
          <v:imagedata o:title=""/>
          <o:lock v:ext="edit"/>
          <v:textbox inset="0mm,0mm,0mm,0mm" style="mso-fit-shape-to-text:t;">
            <w:txbxContent>
              <w:p>
                <w:pPr>
                  <w:pStyle w:val="15"/>
                </w:pPr>
              </w:p>
              <w:p>
                <w:pPr>
                  <w:pStyle w:val="15"/>
                </w:pPr>
              </w:p>
            </w:txbxContent>
          </v:textbox>
        </v:shape>
      </w:pict>
    </w:r>
    <w:r>
      <w:pict>
        <v:shape id="_x0000_s3096" o:spid="_x0000_s3096"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joinstyle="miter"/>
          <v:imagedata o:title=""/>
          <o:lock v:ext="edit"/>
          <v:textbox inset="0mm,0mm,0mm,0mm" style="mso-fit-shape-to-text:t;">
            <w:txbxContent>
              <w:p>
                <w:pPr>
                  <w:pStyle w:val="15"/>
                </w:pPr>
              </w:p>
              <w:p>
                <w:pPr>
                  <w:pStyle w:val="15"/>
                </w:pP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0"/>
    </w:pPr>
    <w:r>
      <w:pict>
        <v:shape id="_x0000_s3081" o:spid="_x0000_s3081"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joinstyle="miter"/>
          <v:imagedata o:title=""/>
          <o:lock v:ext="edit"/>
          <v:textbox inset="0mm,0mm,0mm,0mm" style="mso-fit-shape-to-text:t;">
            <w:txbxContent>
              <w:p>
                <w:pPr>
                  <w:pStyle w:val="15"/>
                  <w:rPr>
                    <w:u w:val="none"/>
                  </w:rPr>
                </w:pPr>
                <w:r>
                  <w:rPr>
                    <w:u w:val="none"/>
                  </w:rPr>
                  <w:fldChar w:fldCharType="begin"/>
                </w:r>
                <w:r>
                  <w:rPr>
                    <w:u w:val="none"/>
                  </w:rPr>
                  <w:instrText xml:space="preserve"> PAGE  \* MERGEFORMAT </w:instrText>
                </w:r>
                <w:r>
                  <w:rPr>
                    <w:u w:val="none"/>
                  </w:rPr>
                  <w:fldChar w:fldCharType="separate"/>
                </w:r>
                <w:r>
                  <w:rPr>
                    <w:u w:val="none"/>
                  </w:rPr>
                  <w:t>1</w:t>
                </w:r>
                <w:r>
                  <w:rPr>
                    <w:u w:val="none"/>
                  </w:rPr>
                  <w:fldChar w:fldCharType="end"/>
                </w:r>
              </w:p>
            </w:txbxContent>
          </v:textbox>
        </v:shape>
      </w:pict>
    </w:r>
    <w:r>
      <w:pict>
        <v:shape id="_x0000_s3076" o:spid="_x0000_s3076" o:spt="202" type="#_x0000_t202" style="position:absolute;left:0pt;margin-top:7.45pt;height:23.6pt;width:39.75pt;mso-position-horizontal:center;mso-position-horizontal-relative:margin;z-index:251663360;mso-width-relative:page;mso-height-relative:page;" filled="f" stroked="f" coordsize="21600,21600">
          <v:path/>
          <v:fill on="f" focussize="0,0"/>
          <v:stroke on="f" joinstyle="miter"/>
          <v:imagedata o:title=""/>
          <o:lock v:ext="edit"/>
          <v:textbox inset="0mm,0mm,0mm,0mm">
            <w:txbxContent>
              <w:p>
                <w:pPr>
                  <w:pStyle w:val="15"/>
                  <w:ind w:firstLine="0"/>
                </w:pPr>
                <w:r>
                  <w:rPr>
                    <w:rFonts w:hint="eastAsia"/>
                  </w:rPr>
                  <w:t xml:space="preserve">      </w:t>
                </w:r>
              </w:p>
            </w:txbxContent>
          </v:textbox>
        </v:shape>
      </w:pict>
    </w:r>
    <w:r>
      <w:pict>
        <v:shape id="_x0000_s3077" o:spid="_x0000_s307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sdt>
                <w:sdtPr>
                  <w:id w:val="1035937112"/>
                </w:sdtPr>
                <w:sdtEndPr>
                  <w:rPr>
                    <w:u w:val="none"/>
                  </w:rPr>
                </w:sdtEndPr>
                <w:sdtContent>
                  <w:p>
                    <w:pPr>
                      <w:pStyle w:val="15"/>
                      <w:jc w:val="center"/>
                      <w:rPr>
                        <w:u w:val="none"/>
                      </w:rPr>
                    </w:pPr>
                  </w:p>
                </w:sdtContent>
              </w:sdt>
              <w:p>
                <w:pPr>
                  <w:rPr>
                    <w:u w:val="none"/>
                  </w:rPr>
                </w:pP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u w:val="none"/>
      </w:rPr>
    </w:pPr>
    <w:r>
      <w:pict>
        <v:shape id="_x0000_s3078" o:spid="_x0000_s3078" o:spt="202" type="#_x0000_t202" style="position:absolute;left:0pt;margin-top:0pt;height:44.85pt;width:75.6pt;mso-position-horizontal:center;mso-position-horizontal-relative:margin;z-index:251660288;mso-width-relative:page;mso-height-relative:page;" filled="f" stroked="f" coordsize="21600,21600">
          <v:path/>
          <v:fill on="f" focussize="0,0"/>
          <v:stroke on="f" joinstyle="miter"/>
          <v:imagedata o:title=""/>
          <o:lock v:ext="edit"/>
          <v:textbox inset="0mm,0mm,0mm,0mm" style="mso-fit-shape-to-text:t;">
            <w:txbxContent>
              <w:p>
                <w:pPr>
                  <w:pStyle w:val="15"/>
                  <w:jc w:val="center"/>
                  <w:rPr>
                    <w:b/>
                    <w:bCs/>
                    <w:u w:val="none"/>
                  </w:rPr>
                </w:pPr>
                <w:r>
                  <w:rPr>
                    <w:sz w:val="28"/>
                    <w:szCs w:val="28"/>
                    <w:u w:val="none"/>
                  </w:rPr>
                  <w:fldChar w:fldCharType="begin"/>
                </w:r>
                <w:r>
                  <w:rPr>
                    <w:sz w:val="28"/>
                    <w:szCs w:val="28"/>
                    <w:u w:val="none"/>
                  </w:rPr>
                  <w:instrText xml:space="preserve"> PAGE   \* MERGEFORMAT </w:instrText>
                </w:r>
                <w:r>
                  <w:rPr>
                    <w:sz w:val="28"/>
                    <w:szCs w:val="28"/>
                    <w:u w:val="none"/>
                  </w:rPr>
                  <w:fldChar w:fldCharType="separate"/>
                </w:r>
                <w:r>
                  <w:rPr>
                    <w:sz w:val="28"/>
                    <w:szCs w:val="28"/>
                    <w:u w:val="none"/>
                  </w:rPr>
                  <w:t>- 23 -</w:t>
                </w:r>
                <w:r>
                  <w:rPr>
                    <w:sz w:val="28"/>
                    <w:szCs w:val="28"/>
                    <w:u w:val="none"/>
                  </w:rPr>
                  <w:fldChar w:fldCharType="end"/>
                </w:r>
              </w:p>
            </w:txbxContent>
          </v:textbox>
        </v:shape>
      </w:pict>
    </w:r>
  </w:p>
  <w:p>
    <w:pPr>
      <w:pStyle w:val="1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single" w:color="auto" w:sz="6" w:space="2"/>
      </w:pBdr>
      <w:spacing w:line="240" w:lineRule="auto"/>
      <w:ind w:firstLine="0"/>
      <w:jc w:val="both"/>
    </w:pPr>
    <w:r>
      <w:rPr>
        <w:rFonts w:hint="eastAsia"/>
        <w:sz w:val="21"/>
        <w:szCs w:val="21"/>
        <w:u w:val="none"/>
      </w:rPr>
      <w:t xml:space="preserve">     </w:t>
    </w:r>
    <w:r>
      <w:rPr>
        <w:rFonts w:hint="eastAsia"/>
        <w:sz w:val="21"/>
        <w:szCs w:val="21"/>
        <w:u w:val="none"/>
      </w:rPr>
      <w:drawing>
        <wp:inline distT="0" distB="0" distL="0" distR="0">
          <wp:extent cx="631825" cy="252095"/>
          <wp:effectExtent l="0" t="0" r="15875" b="14605"/>
          <wp:docPr id="2" name="图片 0" descr="企业标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企业标志.jpg"/>
                  <pic:cNvPicPr>
                    <a:picLocks noChangeAspect="1"/>
                  </pic:cNvPicPr>
                </pic:nvPicPr>
                <pic:blipFill>
                  <a:blip r:embed="rId1"/>
                  <a:stretch>
                    <a:fillRect/>
                  </a:stretch>
                </pic:blipFill>
                <pic:spPr>
                  <a:xfrm>
                    <a:off x="0" y="0"/>
                    <a:ext cx="635821" cy="253801"/>
                  </a:xfrm>
                  <a:prstGeom prst="rect">
                    <a:avLst/>
                  </a:prstGeom>
                </pic:spPr>
              </pic:pic>
            </a:graphicData>
          </a:graphic>
        </wp:inline>
      </w:drawing>
    </w:r>
    <w:r>
      <w:rPr>
        <w:rFonts w:hint="eastAsia"/>
        <w:sz w:val="21"/>
        <w:szCs w:val="21"/>
        <w:u w:val="none"/>
      </w:rPr>
      <w:t xml:space="preserve">                                太原重型机械集团有限公司</w:t>
    </w:r>
    <w:r>
      <w:rPr>
        <w:sz w:val="21"/>
        <w:szCs w:val="21"/>
        <w:u w:val="none"/>
      </w:rPr>
      <w:t>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firstLine="0"/>
      <w:jc w:val="right"/>
    </w:pPr>
    <w:r>
      <w:rPr>
        <w:rFonts w:hint="eastAsia"/>
        <w:u w:val="none"/>
      </w:rPr>
      <w:drawing>
        <wp:inline distT="0" distB="0" distL="114300" distR="114300">
          <wp:extent cx="323850" cy="191135"/>
          <wp:effectExtent l="19050" t="0" r="0" b="0"/>
          <wp:docPr id="6" name="图片 4" descr="360桌面截图2017080307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360桌面截图20170803075437"/>
                  <pic:cNvPicPr>
                    <a:picLocks noChangeAspect="1"/>
                  </pic:cNvPicPr>
                </pic:nvPicPr>
                <pic:blipFill>
                  <a:blip r:embed="rId1"/>
                  <a:stretch>
                    <a:fillRect/>
                  </a:stretch>
                </pic:blipFill>
                <pic:spPr>
                  <a:xfrm>
                    <a:off x="0" y="0"/>
                    <a:ext cx="324814" cy="192211"/>
                  </a:xfrm>
                  <a:prstGeom prst="rect">
                    <a:avLst/>
                  </a:prstGeom>
                </pic:spPr>
              </pic:pic>
            </a:graphicData>
          </a:graphic>
        </wp:inline>
      </w:drawing>
    </w:r>
    <w:r>
      <w:rPr>
        <w:rFonts w:hint="eastAsia"/>
      </w:rPr>
      <w:t>太原重工</w:t>
    </w:r>
    <w:r>
      <w:t>股份有限公司招标文件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single" w:color="auto" w:sz="6" w:space="2"/>
      </w:pBdr>
      <w:spacing w:line="240" w:lineRule="auto"/>
      <w:ind w:firstLine="0"/>
      <w:jc w:val="both"/>
    </w:pPr>
    <w:r>
      <w:rPr>
        <w:rFonts w:hint="eastAsia"/>
        <w:sz w:val="21"/>
        <w:szCs w:val="21"/>
        <w:u w:val="none"/>
      </w:rPr>
      <w:drawing>
        <wp:inline distT="0" distB="0" distL="0" distR="0">
          <wp:extent cx="631825" cy="252095"/>
          <wp:effectExtent l="0" t="0" r="15875" b="14605"/>
          <wp:docPr id="1" name="图片 0" descr="企业标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企业标志.jpg"/>
                  <pic:cNvPicPr>
                    <a:picLocks noChangeAspect="1"/>
                  </pic:cNvPicPr>
                </pic:nvPicPr>
                <pic:blipFill>
                  <a:blip r:embed="rId1"/>
                  <a:stretch>
                    <a:fillRect/>
                  </a:stretch>
                </pic:blipFill>
                <pic:spPr>
                  <a:xfrm>
                    <a:off x="0" y="0"/>
                    <a:ext cx="635821" cy="253801"/>
                  </a:xfrm>
                  <a:prstGeom prst="rect">
                    <a:avLst/>
                  </a:prstGeom>
                </pic:spPr>
              </pic:pic>
            </a:graphicData>
          </a:graphic>
        </wp:inline>
      </w:drawing>
    </w:r>
    <w:r>
      <w:rPr>
        <w:rFonts w:hint="eastAsia"/>
        <w:sz w:val="21"/>
        <w:szCs w:val="21"/>
        <w:u w:val="none"/>
      </w:rPr>
      <w:t xml:space="preserve">  </w:t>
    </w:r>
    <w:r>
      <w:rPr>
        <w:sz w:val="21"/>
        <w:szCs w:val="21"/>
        <w:u w:val="none"/>
      </w:rPr>
      <w:tab/>
    </w:r>
    <w:r>
      <w:rPr>
        <w:rFonts w:hint="eastAsia"/>
        <w:sz w:val="21"/>
        <w:szCs w:val="21"/>
        <w:u w:val="none"/>
      </w:rPr>
      <w:t>太原重型机械集团有限公司</w:t>
    </w:r>
    <w:r>
      <w:rPr>
        <w:sz w:val="21"/>
        <w:szCs w:val="21"/>
        <w:u w:val="none"/>
      </w:rPr>
      <w:t>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1824CB"/>
    <w:multiLevelType w:val="singleLevel"/>
    <w:tmpl w:val="AC1824CB"/>
    <w:lvl w:ilvl="0" w:tentative="0">
      <w:start w:val="2"/>
      <w:numFmt w:val="decimal"/>
      <w:lvlText w:val="%1."/>
      <w:lvlJc w:val="left"/>
      <w:pPr>
        <w:tabs>
          <w:tab w:val="left" w:pos="312"/>
        </w:tabs>
        <w:ind w:left="960" w:firstLine="0"/>
      </w:pPr>
    </w:lvl>
  </w:abstractNum>
  <w:abstractNum w:abstractNumId="1">
    <w:nsid w:val="AEEABF58"/>
    <w:multiLevelType w:val="singleLevel"/>
    <w:tmpl w:val="AEEABF58"/>
    <w:lvl w:ilvl="0" w:tentative="0">
      <w:start w:val="1"/>
      <w:numFmt w:val="chineseCounting"/>
      <w:suff w:val="nothing"/>
      <w:lvlText w:val="%1、"/>
      <w:lvlJc w:val="left"/>
      <w:pPr>
        <w:ind w:left="480" w:firstLine="0"/>
      </w:pPr>
      <w:rPr>
        <w:rFonts w:hint="eastAsia"/>
      </w:rPr>
    </w:lvl>
  </w:abstractNum>
  <w:abstractNum w:abstractNumId="2">
    <w:nsid w:val="FA314599"/>
    <w:multiLevelType w:val="singleLevel"/>
    <w:tmpl w:val="FA314599"/>
    <w:lvl w:ilvl="0" w:tentative="0">
      <w:start w:val="1"/>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20"/>
  <w:noPunctuationKerning w:val="1"/>
  <w:characterSpacingControl w:val="doNotCompress"/>
  <w:hdrShapeDefaults>
    <o:shapelayout v:ext="edit">
      <o:idmap v:ext="edit" data="1,3"/>
    </o:shapelayout>
  </w:hdrShapeDefault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MWVhNjExOWNhNjViNmUwNDAyZDkwNmQ0ZDFmMmNkYjUifQ=="/>
  </w:docVars>
  <w:rsids>
    <w:rsidRoot w:val="00C47CEE"/>
    <w:rsid w:val="000035A8"/>
    <w:rsid w:val="00006D9A"/>
    <w:rsid w:val="00007F0D"/>
    <w:rsid w:val="00013715"/>
    <w:rsid w:val="000165CC"/>
    <w:rsid w:val="00020292"/>
    <w:rsid w:val="00021FCA"/>
    <w:rsid w:val="00022BDF"/>
    <w:rsid w:val="00026010"/>
    <w:rsid w:val="00026316"/>
    <w:rsid w:val="00027884"/>
    <w:rsid w:val="00030360"/>
    <w:rsid w:val="00031A41"/>
    <w:rsid w:val="00040B74"/>
    <w:rsid w:val="0004199B"/>
    <w:rsid w:val="000428FA"/>
    <w:rsid w:val="00042F58"/>
    <w:rsid w:val="0004370D"/>
    <w:rsid w:val="00050030"/>
    <w:rsid w:val="0005705D"/>
    <w:rsid w:val="000602CE"/>
    <w:rsid w:val="00064530"/>
    <w:rsid w:val="0007132A"/>
    <w:rsid w:val="00074D46"/>
    <w:rsid w:val="00075AEB"/>
    <w:rsid w:val="000830D5"/>
    <w:rsid w:val="00084ACA"/>
    <w:rsid w:val="00086200"/>
    <w:rsid w:val="00091D6C"/>
    <w:rsid w:val="00097A1C"/>
    <w:rsid w:val="000A28CD"/>
    <w:rsid w:val="000A32BF"/>
    <w:rsid w:val="000A3CC5"/>
    <w:rsid w:val="000A6C7F"/>
    <w:rsid w:val="000B522C"/>
    <w:rsid w:val="000B5800"/>
    <w:rsid w:val="000B7DF0"/>
    <w:rsid w:val="000C64ED"/>
    <w:rsid w:val="000D276A"/>
    <w:rsid w:val="000D4881"/>
    <w:rsid w:val="000E12AC"/>
    <w:rsid w:val="000E1E9A"/>
    <w:rsid w:val="000F6DEC"/>
    <w:rsid w:val="00100FF7"/>
    <w:rsid w:val="00114E8F"/>
    <w:rsid w:val="0012123A"/>
    <w:rsid w:val="00121BFA"/>
    <w:rsid w:val="00122FE5"/>
    <w:rsid w:val="00125077"/>
    <w:rsid w:val="00126015"/>
    <w:rsid w:val="00127193"/>
    <w:rsid w:val="001302CE"/>
    <w:rsid w:val="00130A65"/>
    <w:rsid w:val="0013578D"/>
    <w:rsid w:val="00146FEE"/>
    <w:rsid w:val="00147CE4"/>
    <w:rsid w:val="0016003E"/>
    <w:rsid w:val="00162CA4"/>
    <w:rsid w:val="00166B07"/>
    <w:rsid w:val="001701ED"/>
    <w:rsid w:val="0017317A"/>
    <w:rsid w:val="001750AA"/>
    <w:rsid w:val="00176764"/>
    <w:rsid w:val="00177B38"/>
    <w:rsid w:val="00180CB9"/>
    <w:rsid w:val="00187BF7"/>
    <w:rsid w:val="0019183A"/>
    <w:rsid w:val="00191AF6"/>
    <w:rsid w:val="00194604"/>
    <w:rsid w:val="00195EDC"/>
    <w:rsid w:val="0019732C"/>
    <w:rsid w:val="0019772A"/>
    <w:rsid w:val="001A07C0"/>
    <w:rsid w:val="001A115A"/>
    <w:rsid w:val="001A2BC8"/>
    <w:rsid w:val="001A3E30"/>
    <w:rsid w:val="001B2CC0"/>
    <w:rsid w:val="001C050C"/>
    <w:rsid w:val="001C5C1B"/>
    <w:rsid w:val="001D3572"/>
    <w:rsid w:val="001D4136"/>
    <w:rsid w:val="001D7425"/>
    <w:rsid w:val="001D7E99"/>
    <w:rsid w:val="001F0C47"/>
    <w:rsid w:val="001F4CFC"/>
    <w:rsid w:val="001F6CAD"/>
    <w:rsid w:val="001F6DA1"/>
    <w:rsid w:val="002010B2"/>
    <w:rsid w:val="00201E5C"/>
    <w:rsid w:val="0021562E"/>
    <w:rsid w:val="002211E0"/>
    <w:rsid w:val="00221FF5"/>
    <w:rsid w:val="00226AB8"/>
    <w:rsid w:val="002301AF"/>
    <w:rsid w:val="00236BA6"/>
    <w:rsid w:val="00243537"/>
    <w:rsid w:val="002468E2"/>
    <w:rsid w:val="00246C26"/>
    <w:rsid w:val="00247084"/>
    <w:rsid w:val="00254793"/>
    <w:rsid w:val="00264171"/>
    <w:rsid w:val="00264E17"/>
    <w:rsid w:val="002650E3"/>
    <w:rsid w:val="002705DA"/>
    <w:rsid w:val="00270D85"/>
    <w:rsid w:val="002752CE"/>
    <w:rsid w:val="002769BB"/>
    <w:rsid w:val="002800D4"/>
    <w:rsid w:val="00287E29"/>
    <w:rsid w:val="00291B29"/>
    <w:rsid w:val="00294C52"/>
    <w:rsid w:val="00294E76"/>
    <w:rsid w:val="002A176F"/>
    <w:rsid w:val="002A570B"/>
    <w:rsid w:val="002A6592"/>
    <w:rsid w:val="002B04DE"/>
    <w:rsid w:val="002B72C9"/>
    <w:rsid w:val="002B7E12"/>
    <w:rsid w:val="002C0919"/>
    <w:rsid w:val="002C35C0"/>
    <w:rsid w:val="002C3B34"/>
    <w:rsid w:val="002C7D3A"/>
    <w:rsid w:val="002D31B9"/>
    <w:rsid w:val="002D61ED"/>
    <w:rsid w:val="002E1A8D"/>
    <w:rsid w:val="002E2BA0"/>
    <w:rsid w:val="002E66FE"/>
    <w:rsid w:val="002E6BE2"/>
    <w:rsid w:val="002F0EE4"/>
    <w:rsid w:val="002F18A3"/>
    <w:rsid w:val="002F565C"/>
    <w:rsid w:val="002F661C"/>
    <w:rsid w:val="002F6C39"/>
    <w:rsid w:val="0030799D"/>
    <w:rsid w:val="00311B31"/>
    <w:rsid w:val="00313321"/>
    <w:rsid w:val="0031363D"/>
    <w:rsid w:val="00317916"/>
    <w:rsid w:val="00323EA9"/>
    <w:rsid w:val="00324F1C"/>
    <w:rsid w:val="00331EBF"/>
    <w:rsid w:val="0033540B"/>
    <w:rsid w:val="00340411"/>
    <w:rsid w:val="00340919"/>
    <w:rsid w:val="00341899"/>
    <w:rsid w:val="00342854"/>
    <w:rsid w:val="00343A3F"/>
    <w:rsid w:val="00345FA1"/>
    <w:rsid w:val="0034722F"/>
    <w:rsid w:val="00352605"/>
    <w:rsid w:val="003566F4"/>
    <w:rsid w:val="003605A4"/>
    <w:rsid w:val="00367AA5"/>
    <w:rsid w:val="00375580"/>
    <w:rsid w:val="00377536"/>
    <w:rsid w:val="00382337"/>
    <w:rsid w:val="00382D7C"/>
    <w:rsid w:val="003873B7"/>
    <w:rsid w:val="00393F73"/>
    <w:rsid w:val="003949EE"/>
    <w:rsid w:val="003966DF"/>
    <w:rsid w:val="003B085F"/>
    <w:rsid w:val="003C19E9"/>
    <w:rsid w:val="003C31DC"/>
    <w:rsid w:val="003D09F1"/>
    <w:rsid w:val="003D12E7"/>
    <w:rsid w:val="003E64AE"/>
    <w:rsid w:val="003E659C"/>
    <w:rsid w:val="003E6AB3"/>
    <w:rsid w:val="003F10DB"/>
    <w:rsid w:val="003F2A73"/>
    <w:rsid w:val="003F72B2"/>
    <w:rsid w:val="00401BB0"/>
    <w:rsid w:val="0041316F"/>
    <w:rsid w:val="00416EEB"/>
    <w:rsid w:val="00421FB2"/>
    <w:rsid w:val="00423715"/>
    <w:rsid w:val="00436C1E"/>
    <w:rsid w:val="00437085"/>
    <w:rsid w:val="00437A37"/>
    <w:rsid w:val="00441E4E"/>
    <w:rsid w:val="00443250"/>
    <w:rsid w:val="004461EA"/>
    <w:rsid w:val="00447C5F"/>
    <w:rsid w:val="0046438C"/>
    <w:rsid w:val="00472F6C"/>
    <w:rsid w:val="00480429"/>
    <w:rsid w:val="004819BA"/>
    <w:rsid w:val="00490A25"/>
    <w:rsid w:val="004960C8"/>
    <w:rsid w:val="004A257F"/>
    <w:rsid w:val="004A4A72"/>
    <w:rsid w:val="004B0A49"/>
    <w:rsid w:val="004B0AD0"/>
    <w:rsid w:val="004B414C"/>
    <w:rsid w:val="004B7E2B"/>
    <w:rsid w:val="004C0988"/>
    <w:rsid w:val="004C2D21"/>
    <w:rsid w:val="004C6AFC"/>
    <w:rsid w:val="004D0EFC"/>
    <w:rsid w:val="004D40E8"/>
    <w:rsid w:val="004D4A03"/>
    <w:rsid w:val="004D4B7A"/>
    <w:rsid w:val="004D57CA"/>
    <w:rsid w:val="004D5CBD"/>
    <w:rsid w:val="004D60AC"/>
    <w:rsid w:val="004D625C"/>
    <w:rsid w:val="004E0519"/>
    <w:rsid w:val="004E1316"/>
    <w:rsid w:val="004E3A5E"/>
    <w:rsid w:val="004E3F1A"/>
    <w:rsid w:val="004E4041"/>
    <w:rsid w:val="004F43F1"/>
    <w:rsid w:val="004F47A7"/>
    <w:rsid w:val="004F5897"/>
    <w:rsid w:val="004F5C47"/>
    <w:rsid w:val="004F6A5A"/>
    <w:rsid w:val="00501D19"/>
    <w:rsid w:val="005029F3"/>
    <w:rsid w:val="005055F7"/>
    <w:rsid w:val="005060C7"/>
    <w:rsid w:val="00507E28"/>
    <w:rsid w:val="00510895"/>
    <w:rsid w:val="00512117"/>
    <w:rsid w:val="005137AE"/>
    <w:rsid w:val="00513F8E"/>
    <w:rsid w:val="00523845"/>
    <w:rsid w:val="0052750A"/>
    <w:rsid w:val="00532A22"/>
    <w:rsid w:val="0054517A"/>
    <w:rsid w:val="00550D26"/>
    <w:rsid w:val="00552F1E"/>
    <w:rsid w:val="00555486"/>
    <w:rsid w:val="005601F8"/>
    <w:rsid w:val="00562995"/>
    <w:rsid w:val="005636C3"/>
    <w:rsid w:val="00564086"/>
    <w:rsid w:val="00564930"/>
    <w:rsid w:val="00565E6A"/>
    <w:rsid w:val="005662BB"/>
    <w:rsid w:val="00577CBD"/>
    <w:rsid w:val="00583E44"/>
    <w:rsid w:val="005853D1"/>
    <w:rsid w:val="00585DCB"/>
    <w:rsid w:val="00596000"/>
    <w:rsid w:val="005A0F20"/>
    <w:rsid w:val="005A41A7"/>
    <w:rsid w:val="005A5C6E"/>
    <w:rsid w:val="005A6691"/>
    <w:rsid w:val="005B3AB8"/>
    <w:rsid w:val="005B44E6"/>
    <w:rsid w:val="005C07EF"/>
    <w:rsid w:val="005C1D8C"/>
    <w:rsid w:val="005C4A30"/>
    <w:rsid w:val="005D0751"/>
    <w:rsid w:val="005F057C"/>
    <w:rsid w:val="005F36AA"/>
    <w:rsid w:val="005F376D"/>
    <w:rsid w:val="006055CC"/>
    <w:rsid w:val="006060E9"/>
    <w:rsid w:val="0060717D"/>
    <w:rsid w:val="006105D7"/>
    <w:rsid w:val="00611230"/>
    <w:rsid w:val="0061214C"/>
    <w:rsid w:val="00612AF1"/>
    <w:rsid w:val="0061615F"/>
    <w:rsid w:val="00622757"/>
    <w:rsid w:val="00631D47"/>
    <w:rsid w:val="0063500F"/>
    <w:rsid w:val="00636B36"/>
    <w:rsid w:val="0064093D"/>
    <w:rsid w:val="006437CF"/>
    <w:rsid w:val="00645B68"/>
    <w:rsid w:val="00650C4B"/>
    <w:rsid w:val="00655430"/>
    <w:rsid w:val="006556A9"/>
    <w:rsid w:val="006559F2"/>
    <w:rsid w:val="00657CBA"/>
    <w:rsid w:val="0066134E"/>
    <w:rsid w:val="00670BF4"/>
    <w:rsid w:val="00673E7D"/>
    <w:rsid w:val="006753D9"/>
    <w:rsid w:val="00680364"/>
    <w:rsid w:val="006809D5"/>
    <w:rsid w:val="00682144"/>
    <w:rsid w:val="00682485"/>
    <w:rsid w:val="006870F7"/>
    <w:rsid w:val="00694707"/>
    <w:rsid w:val="006A1BF4"/>
    <w:rsid w:val="006A5EC3"/>
    <w:rsid w:val="006A7D69"/>
    <w:rsid w:val="006A7E5D"/>
    <w:rsid w:val="006B196F"/>
    <w:rsid w:val="006B6378"/>
    <w:rsid w:val="006C07B1"/>
    <w:rsid w:val="006C18C5"/>
    <w:rsid w:val="006C2370"/>
    <w:rsid w:val="006C4B62"/>
    <w:rsid w:val="006C6B27"/>
    <w:rsid w:val="006C776B"/>
    <w:rsid w:val="006D21A5"/>
    <w:rsid w:val="006D4AC0"/>
    <w:rsid w:val="006D52B2"/>
    <w:rsid w:val="006E1EA5"/>
    <w:rsid w:val="006E44E0"/>
    <w:rsid w:val="006E6AAF"/>
    <w:rsid w:val="006E704D"/>
    <w:rsid w:val="006F2ECD"/>
    <w:rsid w:val="00702E50"/>
    <w:rsid w:val="00703E9A"/>
    <w:rsid w:val="00715E0E"/>
    <w:rsid w:val="007177AF"/>
    <w:rsid w:val="007412E7"/>
    <w:rsid w:val="00741915"/>
    <w:rsid w:val="00741FD6"/>
    <w:rsid w:val="0074334F"/>
    <w:rsid w:val="00743BC8"/>
    <w:rsid w:val="00747C38"/>
    <w:rsid w:val="007553B6"/>
    <w:rsid w:val="00760181"/>
    <w:rsid w:val="00763651"/>
    <w:rsid w:val="00763903"/>
    <w:rsid w:val="00765FC4"/>
    <w:rsid w:val="00770250"/>
    <w:rsid w:val="0078524E"/>
    <w:rsid w:val="007910E6"/>
    <w:rsid w:val="00793E27"/>
    <w:rsid w:val="007A0AC4"/>
    <w:rsid w:val="007A0CD1"/>
    <w:rsid w:val="007A37B7"/>
    <w:rsid w:val="007A7958"/>
    <w:rsid w:val="007B142C"/>
    <w:rsid w:val="007B2A14"/>
    <w:rsid w:val="007B36B3"/>
    <w:rsid w:val="007B4508"/>
    <w:rsid w:val="007B49B1"/>
    <w:rsid w:val="007B50F4"/>
    <w:rsid w:val="007C0B27"/>
    <w:rsid w:val="007C2AD8"/>
    <w:rsid w:val="007D49F1"/>
    <w:rsid w:val="007D62EE"/>
    <w:rsid w:val="007E0E02"/>
    <w:rsid w:val="007E15B2"/>
    <w:rsid w:val="007E6A31"/>
    <w:rsid w:val="007E7A1B"/>
    <w:rsid w:val="007F3FC0"/>
    <w:rsid w:val="007F4371"/>
    <w:rsid w:val="007F51C6"/>
    <w:rsid w:val="007F6E5C"/>
    <w:rsid w:val="0080494C"/>
    <w:rsid w:val="00811BA4"/>
    <w:rsid w:val="0081527F"/>
    <w:rsid w:val="00823893"/>
    <w:rsid w:val="008262E1"/>
    <w:rsid w:val="00827221"/>
    <w:rsid w:val="008274E7"/>
    <w:rsid w:val="00827F19"/>
    <w:rsid w:val="008303AC"/>
    <w:rsid w:val="0083290C"/>
    <w:rsid w:val="00834BDA"/>
    <w:rsid w:val="00840C0E"/>
    <w:rsid w:val="00841C66"/>
    <w:rsid w:val="008422B4"/>
    <w:rsid w:val="00860125"/>
    <w:rsid w:val="00870AFE"/>
    <w:rsid w:val="00872345"/>
    <w:rsid w:val="00874A40"/>
    <w:rsid w:val="00877621"/>
    <w:rsid w:val="00877743"/>
    <w:rsid w:val="0088001A"/>
    <w:rsid w:val="00881B76"/>
    <w:rsid w:val="00884908"/>
    <w:rsid w:val="008934C8"/>
    <w:rsid w:val="0089558D"/>
    <w:rsid w:val="008956AD"/>
    <w:rsid w:val="008972B0"/>
    <w:rsid w:val="008A1045"/>
    <w:rsid w:val="008A1FAD"/>
    <w:rsid w:val="008A7DD1"/>
    <w:rsid w:val="008B1814"/>
    <w:rsid w:val="008B4545"/>
    <w:rsid w:val="008B5087"/>
    <w:rsid w:val="008B51A2"/>
    <w:rsid w:val="008C13B5"/>
    <w:rsid w:val="008C6C7D"/>
    <w:rsid w:val="008D13A1"/>
    <w:rsid w:val="008D506D"/>
    <w:rsid w:val="008D5F28"/>
    <w:rsid w:val="008D7C05"/>
    <w:rsid w:val="008E208E"/>
    <w:rsid w:val="008F2A9C"/>
    <w:rsid w:val="008F4DAC"/>
    <w:rsid w:val="00901F8B"/>
    <w:rsid w:val="009041D8"/>
    <w:rsid w:val="00907A5F"/>
    <w:rsid w:val="00925326"/>
    <w:rsid w:val="0092664E"/>
    <w:rsid w:val="00941238"/>
    <w:rsid w:val="00942C86"/>
    <w:rsid w:val="0094378B"/>
    <w:rsid w:val="00947B2D"/>
    <w:rsid w:val="00953855"/>
    <w:rsid w:val="00960D44"/>
    <w:rsid w:val="009646E2"/>
    <w:rsid w:val="00965A33"/>
    <w:rsid w:val="009669E9"/>
    <w:rsid w:val="0096750C"/>
    <w:rsid w:val="00980741"/>
    <w:rsid w:val="0098087A"/>
    <w:rsid w:val="009851BB"/>
    <w:rsid w:val="00990AE4"/>
    <w:rsid w:val="00993194"/>
    <w:rsid w:val="0099528B"/>
    <w:rsid w:val="00997E39"/>
    <w:rsid w:val="009A6C7B"/>
    <w:rsid w:val="009B6D0B"/>
    <w:rsid w:val="009C4E81"/>
    <w:rsid w:val="009D2D85"/>
    <w:rsid w:val="009D420A"/>
    <w:rsid w:val="009D45C8"/>
    <w:rsid w:val="009E2094"/>
    <w:rsid w:val="009F1376"/>
    <w:rsid w:val="009F47F2"/>
    <w:rsid w:val="009F6C0A"/>
    <w:rsid w:val="00A00F6C"/>
    <w:rsid w:val="00A039C7"/>
    <w:rsid w:val="00A07661"/>
    <w:rsid w:val="00A10D6D"/>
    <w:rsid w:val="00A11A7B"/>
    <w:rsid w:val="00A135E5"/>
    <w:rsid w:val="00A16E29"/>
    <w:rsid w:val="00A20124"/>
    <w:rsid w:val="00A256D4"/>
    <w:rsid w:val="00A3245B"/>
    <w:rsid w:val="00A32B0E"/>
    <w:rsid w:val="00A35FE5"/>
    <w:rsid w:val="00A5001E"/>
    <w:rsid w:val="00A512F4"/>
    <w:rsid w:val="00A53C58"/>
    <w:rsid w:val="00A54A80"/>
    <w:rsid w:val="00A55196"/>
    <w:rsid w:val="00A569F8"/>
    <w:rsid w:val="00A5728E"/>
    <w:rsid w:val="00A602A2"/>
    <w:rsid w:val="00A62469"/>
    <w:rsid w:val="00A650E1"/>
    <w:rsid w:val="00A73EEF"/>
    <w:rsid w:val="00A773EE"/>
    <w:rsid w:val="00A83FDB"/>
    <w:rsid w:val="00A94AA3"/>
    <w:rsid w:val="00AB49C0"/>
    <w:rsid w:val="00AB72ED"/>
    <w:rsid w:val="00AC0BD1"/>
    <w:rsid w:val="00AC0C1B"/>
    <w:rsid w:val="00AC3C15"/>
    <w:rsid w:val="00AC6FB7"/>
    <w:rsid w:val="00AD176C"/>
    <w:rsid w:val="00AE471A"/>
    <w:rsid w:val="00AE472F"/>
    <w:rsid w:val="00AE4C08"/>
    <w:rsid w:val="00AE72D7"/>
    <w:rsid w:val="00AE762D"/>
    <w:rsid w:val="00AF038C"/>
    <w:rsid w:val="00AF427F"/>
    <w:rsid w:val="00AF52A6"/>
    <w:rsid w:val="00AF6489"/>
    <w:rsid w:val="00AF7C70"/>
    <w:rsid w:val="00B006A0"/>
    <w:rsid w:val="00B057ED"/>
    <w:rsid w:val="00B10CE2"/>
    <w:rsid w:val="00B1278C"/>
    <w:rsid w:val="00B23158"/>
    <w:rsid w:val="00B25F05"/>
    <w:rsid w:val="00B2664F"/>
    <w:rsid w:val="00B26849"/>
    <w:rsid w:val="00B40EC8"/>
    <w:rsid w:val="00B44413"/>
    <w:rsid w:val="00B4462B"/>
    <w:rsid w:val="00B44763"/>
    <w:rsid w:val="00B503B7"/>
    <w:rsid w:val="00B51286"/>
    <w:rsid w:val="00B5148D"/>
    <w:rsid w:val="00B60F32"/>
    <w:rsid w:val="00B62CF6"/>
    <w:rsid w:val="00B6330A"/>
    <w:rsid w:val="00B65897"/>
    <w:rsid w:val="00B732D5"/>
    <w:rsid w:val="00B77867"/>
    <w:rsid w:val="00B90CA1"/>
    <w:rsid w:val="00B94660"/>
    <w:rsid w:val="00B9746D"/>
    <w:rsid w:val="00BA2A89"/>
    <w:rsid w:val="00BA2F2D"/>
    <w:rsid w:val="00BC0764"/>
    <w:rsid w:val="00BE567B"/>
    <w:rsid w:val="00BE61E2"/>
    <w:rsid w:val="00BF034D"/>
    <w:rsid w:val="00BF17ED"/>
    <w:rsid w:val="00BF251F"/>
    <w:rsid w:val="00BF3EC1"/>
    <w:rsid w:val="00C05A04"/>
    <w:rsid w:val="00C1034E"/>
    <w:rsid w:val="00C1110E"/>
    <w:rsid w:val="00C22CF3"/>
    <w:rsid w:val="00C230B1"/>
    <w:rsid w:val="00C25942"/>
    <w:rsid w:val="00C265F9"/>
    <w:rsid w:val="00C279A5"/>
    <w:rsid w:val="00C30991"/>
    <w:rsid w:val="00C31151"/>
    <w:rsid w:val="00C3700C"/>
    <w:rsid w:val="00C40054"/>
    <w:rsid w:val="00C40A9D"/>
    <w:rsid w:val="00C42788"/>
    <w:rsid w:val="00C43210"/>
    <w:rsid w:val="00C439CD"/>
    <w:rsid w:val="00C43E9F"/>
    <w:rsid w:val="00C47341"/>
    <w:rsid w:val="00C478D8"/>
    <w:rsid w:val="00C47CEE"/>
    <w:rsid w:val="00C56B9B"/>
    <w:rsid w:val="00C56CEF"/>
    <w:rsid w:val="00C643BF"/>
    <w:rsid w:val="00C677FD"/>
    <w:rsid w:val="00C71821"/>
    <w:rsid w:val="00C71DDC"/>
    <w:rsid w:val="00C75F83"/>
    <w:rsid w:val="00C77F16"/>
    <w:rsid w:val="00C86114"/>
    <w:rsid w:val="00C86D13"/>
    <w:rsid w:val="00C86DD7"/>
    <w:rsid w:val="00C87AEF"/>
    <w:rsid w:val="00C93D73"/>
    <w:rsid w:val="00CA024B"/>
    <w:rsid w:val="00CA5EEA"/>
    <w:rsid w:val="00CB2695"/>
    <w:rsid w:val="00CB3A38"/>
    <w:rsid w:val="00CB5349"/>
    <w:rsid w:val="00CB55D9"/>
    <w:rsid w:val="00CC1D02"/>
    <w:rsid w:val="00CC46D1"/>
    <w:rsid w:val="00CE2B4A"/>
    <w:rsid w:val="00CF0F36"/>
    <w:rsid w:val="00CF15F3"/>
    <w:rsid w:val="00D01C88"/>
    <w:rsid w:val="00D04FC8"/>
    <w:rsid w:val="00D05621"/>
    <w:rsid w:val="00D07A1E"/>
    <w:rsid w:val="00D104A9"/>
    <w:rsid w:val="00D1209B"/>
    <w:rsid w:val="00D14096"/>
    <w:rsid w:val="00D27144"/>
    <w:rsid w:val="00D32BCE"/>
    <w:rsid w:val="00D3355B"/>
    <w:rsid w:val="00D35756"/>
    <w:rsid w:val="00D35AB3"/>
    <w:rsid w:val="00D362E1"/>
    <w:rsid w:val="00D44CAB"/>
    <w:rsid w:val="00D4525A"/>
    <w:rsid w:val="00D46B03"/>
    <w:rsid w:val="00D50EDB"/>
    <w:rsid w:val="00D511EB"/>
    <w:rsid w:val="00D605CC"/>
    <w:rsid w:val="00D6278B"/>
    <w:rsid w:val="00D62EAD"/>
    <w:rsid w:val="00D6507D"/>
    <w:rsid w:val="00D74D0D"/>
    <w:rsid w:val="00D816B7"/>
    <w:rsid w:val="00D86681"/>
    <w:rsid w:val="00D948DB"/>
    <w:rsid w:val="00DA46D6"/>
    <w:rsid w:val="00DA7292"/>
    <w:rsid w:val="00DB43ED"/>
    <w:rsid w:val="00DB786B"/>
    <w:rsid w:val="00DC3D71"/>
    <w:rsid w:val="00DD10DE"/>
    <w:rsid w:val="00DD1FDA"/>
    <w:rsid w:val="00DD4F7D"/>
    <w:rsid w:val="00DD590F"/>
    <w:rsid w:val="00DD7B06"/>
    <w:rsid w:val="00DE4612"/>
    <w:rsid w:val="00DF5F83"/>
    <w:rsid w:val="00E00094"/>
    <w:rsid w:val="00E01C55"/>
    <w:rsid w:val="00E01D9A"/>
    <w:rsid w:val="00E04C4E"/>
    <w:rsid w:val="00E06B71"/>
    <w:rsid w:val="00E107B2"/>
    <w:rsid w:val="00E17712"/>
    <w:rsid w:val="00E321B2"/>
    <w:rsid w:val="00E3795C"/>
    <w:rsid w:val="00E52438"/>
    <w:rsid w:val="00E54EF3"/>
    <w:rsid w:val="00E57C13"/>
    <w:rsid w:val="00E701FD"/>
    <w:rsid w:val="00E75018"/>
    <w:rsid w:val="00E862BC"/>
    <w:rsid w:val="00E86983"/>
    <w:rsid w:val="00E90BEB"/>
    <w:rsid w:val="00E927A2"/>
    <w:rsid w:val="00E93114"/>
    <w:rsid w:val="00E93278"/>
    <w:rsid w:val="00E943BD"/>
    <w:rsid w:val="00E97564"/>
    <w:rsid w:val="00EA27B0"/>
    <w:rsid w:val="00EB065A"/>
    <w:rsid w:val="00EB7031"/>
    <w:rsid w:val="00ED36F8"/>
    <w:rsid w:val="00EE239C"/>
    <w:rsid w:val="00EE3BE1"/>
    <w:rsid w:val="00EE5DD5"/>
    <w:rsid w:val="00EE6DD0"/>
    <w:rsid w:val="00EF19EA"/>
    <w:rsid w:val="00EF215B"/>
    <w:rsid w:val="00F02827"/>
    <w:rsid w:val="00F039DC"/>
    <w:rsid w:val="00F04DB5"/>
    <w:rsid w:val="00F07222"/>
    <w:rsid w:val="00F109FE"/>
    <w:rsid w:val="00F13454"/>
    <w:rsid w:val="00F15EED"/>
    <w:rsid w:val="00F24AE6"/>
    <w:rsid w:val="00F3723A"/>
    <w:rsid w:val="00F42AB5"/>
    <w:rsid w:val="00F4657B"/>
    <w:rsid w:val="00F55140"/>
    <w:rsid w:val="00F55233"/>
    <w:rsid w:val="00F5681D"/>
    <w:rsid w:val="00F57758"/>
    <w:rsid w:val="00F61A68"/>
    <w:rsid w:val="00F639DA"/>
    <w:rsid w:val="00F63D21"/>
    <w:rsid w:val="00F66A30"/>
    <w:rsid w:val="00F679B2"/>
    <w:rsid w:val="00F81813"/>
    <w:rsid w:val="00F845B3"/>
    <w:rsid w:val="00F85515"/>
    <w:rsid w:val="00F8685E"/>
    <w:rsid w:val="00F91CEE"/>
    <w:rsid w:val="00F91FD9"/>
    <w:rsid w:val="00F944C0"/>
    <w:rsid w:val="00F97D26"/>
    <w:rsid w:val="00FA26B5"/>
    <w:rsid w:val="00FA5E73"/>
    <w:rsid w:val="00FB011F"/>
    <w:rsid w:val="00FB3792"/>
    <w:rsid w:val="00FB55A9"/>
    <w:rsid w:val="00FB7F5E"/>
    <w:rsid w:val="00FC20B4"/>
    <w:rsid w:val="00FD4A82"/>
    <w:rsid w:val="00FD631C"/>
    <w:rsid w:val="00FE0196"/>
    <w:rsid w:val="00FE29DC"/>
    <w:rsid w:val="00FE4220"/>
    <w:rsid w:val="00FE4AB2"/>
    <w:rsid w:val="00FE5E2C"/>
    <w:rsid w:val="00FF2856"/>
    <w:rsid w:val="00FF6BFB"/>
    <w:rsid w:val="0128249C"/>
    <w:rsid w:val="01B62025"/>
    <w:rsid w:val="03AC75BE"/>
    <w:rsid w:val="041715DB"/>
    <w:rsid w:val="04631424"/>
    <w:rsid w:val="047E152B"/>
    <w:rsid w:val="05496BE8"/>
    <w:rsid w:val="0581313A"/>
    <w:rsid w:val="05C46603"/>
    <w:rsid w:val="06026C64"/>
    <w:rsid w:val="06545188"/>
    <w:rsid w:val="07694FEB"/>
    <w:rsid w:val="077668E4"/>
    <w:rsid w:val="07CB5E8C"/>
    <w:rsid w:val="080F3198"/>
    <w:rsid w:val="08B60B0A"/>
    <w:rsid w:val="099D18B1"/>
    <w:rsid w:val="0A2E17F9"/>
    <w:rsid w:val="0A3E1EE8"/>
    <w:rsid w:val="0A7B114F"/>
    <w:rsid w:val="0AD1419E"/>
    <w:rsid w:val="0AFD0EBC"/>
    <w:rsid w:val="0BB13BF7"/>
    <w:rsid w:val="0BD224A7"/>
    <w:rsid w:val="0C5C4A04"/>
    <w:rsid w:val="0CC6686D"/>
    <w:rsid w:val="0CD02FB0"/>
    <w:rsid w:val="0CE013CA"/>
    <w:rsid w:val="0CE067E3"/>
    <w:rsid w:val="0CF86235"/>
    <w:rsid w:val="0D415A7C"/>
    <w:rsid w:val="0D486799"/>
    <w:rsid w:val="0D4D04B3"/>
    <w:rsid w:val="0D662306"/>
    <w:rsid w:val="0D9731E9"/>
    <w:rsid w:val="0E1C2936"/>
    <w:rsid w:val="0EA346CA"/>
    <w:rsid w:val="0EBC6613"/>
    <w:rsid w:val="0FAB16F5"/>
    <w:rsid w:val="0FE82EA7"/>
    <w:rsid w:val="0FF82CC3"/>
    <w:rsid w:val="101764DA"/>
    <w:rsid w:val="105834E7"/>
    <w:rsid w:val="105F3B3E"/>
    <w:rsid w:val="10633709"/>
    <w:rsid w:val="10DA29FE"/>
    <w:rsid w:val="11373B83"/>
    <w:rsid w:val="121A7A66"/>
    <w:rsid w:val="13643B48"/>
    <w:rsid w:val="13996019"/>
    <w:rsid w:val="13C22D3F"/>
    <w:rsid w:val="14FE17BD"/>
    <w:rsid w:val="15261B29"/>
    <w:rsid w:val="15AD6248"/>
    <w:rsid w:val="15DA48F8"/>
    <w:rsid w:val="164E3F7A"/>
    <w:rsid w:val="165D0A8E"/>
    <w:rsid w:val="16652F0D"/>
    <w:rsid w:val="16F82FD8"/>
    <w:rsid w:val="16FE1420"/>
    <w:rsid w:val="17231CCF"/>
    <w:rsid w:val="17232DF1"/>
    <w:rsid w:val="176B7EB2"/>
    <w:rsid w:val="176D35F3"/>
    <w:rsid w:val="17BB7929"/>
    <w:rsid w:val="17FC56E3"/>
    <w:rsid w:val="190364C6"/>
    <w:rsid w:val="19186B75"/>
    <w:rsid w:val="1A477795"/>
    <w:rsid w:val="1A4C27DC"/>
    <w:rsid w:val="1A6274A4"/>
    <w:rsid w:val="1ADA2F5E"/>
    <w:rsid w:val="1B5379AB"/>
    <w:rsid w:val="1B9A60D2"/>
    <w:rsid w:val="1C640474"/>
    <w:rsid w:val="1CCB7CD1"/>
    <w:rsid w:val="1D841BBB"/>
    <w:rsid w:val="1D9B2767"/>
    <w:rsid w:val="1DA31C40"/>
    <w:rsid w:val="1E5C2B13"/>
    <w:rsid w:val="1E65518F"/>
    <w:rsid w:val="1EB2532C"/>
    <w:rsid w:val="1EB67173"/>
    <w:rsid w:val="1EC81408"/>
    <w:rsid w:val="1F603309"/>
    <w:rsid w:val="1F7012CE"/>
    <w:rsid w:val="207208B8"/>
    <w:rsid w:val="208B2335"/>
    <w:rsid w:val="209B2609"/>
    <w:rsid w:val="216E2EA7"/>
    <w:rsid w:val="21797202"/>
    <w:rsid w:val="21842FEC"/>
    <w:rsid w:val="219E5618"/>
    <w:rsid w:val="22037267"/>
    <w:rsid w:val="220F3ACA"/>
    <w:rsid w:val="2270518A"/>
    <w:rsid w:val="22FC0121"/>
    <w:rsid w:val="23112A4E"/>
    <w:rsid w:val="24256F01"/>
    <w:rsid w:val="24277408"/>
    <w:rsid w:val="246F232F"/>
    <w:rsid w:val="25456F34"/>
    <w:rsid w:val="25921EA6"/>
    <w:rsid w:val="25FF51D2"/>
    <w:rsid w:val="27677A5F"/>
    <w:rsid w:val="276B2EF3"/>
    <w:rsid w:val="27AC26C4"/>
    <w:rsid w:val="28B336EA"/>
    <w:rsid w:val="2935288E"/>
    <w:rsid w:val="29871ED8"/>
    <w:rsid w:val="29900002"/>
    <w:rsid w:val="29AD4E71"/>
    <w:rsid w:val="2A0D09C7"/>
    <w:rsid w:val="2A9A14F0"/>
    <w:rsid w:val="2B331616"/>
    <w:rsid w:val="2B5F3AD7"/>
    <w:rsid w:val="2BD163C4"/>
    <w:rsid w:val="2BE76B56"/>
    <w:rsid w:val="2C2F2C69"/>
    <w:rsid w:val="2C3F61F6"/>
    <w:rsid w:val="2C42707C"/>
    <w:rsid w:val="2C573430"/>
    <w:rsid w:val="2CF11024"/>
    <w:rsid w:val="2D3A663E"/>
    <w:rsid w:val="2D481A01"/>
    <w:rsid w:val="2E9B753D"/>
    <w:rsid w:val="2EFF1BC4"/>
    <w:rsid w:val="2F4A1EAA"/>
    <w:rsid w:val="2FE028C1"/>
    <w:rsid w:val="30610E43"/>
    <w:rsid w:val="30840ED5"/>
    <w:rsid w:val="31104F81"/>
    <w:rsid w:val="311C4760"/>
    <w:rsid w:val="31263F00"/>
    <w:rsid w:val="31BF1262"/>
    <w:rsid w:val="31C75679"/>
    <w:rsid w:val="31F1357D"/>
    <w:rsid w:val="32012B51"/>
    <w:rsid w:val="324C65CB"/>
    <w:rsid w:val="32844CED"/>
    <w:rsid w:val="32CE7041"/>
    <w:rsid w:val="32F65A1D"/>
    <w:rsid w:val="33314A12"/>
    <w:rsid w:val="33597DBB"/>
    <w:rsid w:val="34AE0F94"/>
    <w:rsid w:val="35304A63"/>
    <w:rsid w:val="35396863"/>
    <w:rsid w:val="358A4DA6"/>
    <w:rsid w:val="368821D0"/>
    <w:rsid w:val="36D37903"/>
    <w:rsid w:val="370C479F"/>
    <w:rsid w:val="371F119A"/>
    <w:rsid w:val="37E50FD8"/>
    <w:rsid w:val="383A4FEA"/>
    <w:rsid w:val="38447F1F"/>
    <w:rsid w:val="39085B17"/>
    <w:rsid w:val="392805AC"/>
    <w:rsid w:val="395E23DF"/>
    <w:rsid w:val="398E452E"/>
    <w:rsid w:val="39B727F5"/>
    <w:rsid w:val="3A432E96"/>
    <w:rsid w:val="3A5A0149"/>
    <w:rsid w:val="3A8854B6"/>
    <w:rsid w:val="3AA45AF6"/>
    <w:rsid w:val="3B381D95"/>
    <w:rsid w:val="3B4613AE"/>
    <w:rsid w:val="3B52718F"/>
    <w:rsid w:val="3BC85902"/>
    <w:rsid w:val="3BEF34C5"/>
    <w:rsid w:val="3C167626"/>
    <w:rsid w:val="3C1E17CC"/>
    <w:rsid w:val="3CAD609F"/>
    <w:rsid w:val="3E685A6B"/>
    <w:rsid w:val="3EAA34F7"/>
    <w:rsid w:val="3EBD22FB"/>
    <w:rsid w:val="3EC544ED"/>
    <w:rsid w:val="3EE4739B"/>
    <w:rsid w:val="3F1403F1"/>
    <w:rsid w:val="3F783DDA"/>
    <w:rsid w:val="40006360"/>
    <w:rsid w:val="413451D5"/>
    <w:rsid w:val="415E40BE"/>
    <w:rsid w:val="4185444E"/>
    <w:rsid w:val="418F3239"/>
    <w:rsid w:val="41AE23E8"/>
    <w:rsid w:val="42511CE5"/>
    <w:rsid w:val="42B53279"/>
    <w:rsid w:val="435A7B31"/>
    <w:rsid w:val="437C50D1"/>
    <w:rsid w:val="43963DC9"/>
    <w:rsid w:val="43F7797A"/>
    <w:rsid w:val="442E2A1E"/>
    <w:rsid w:val="444E6C2C"/>
    <w:rsid w:val="44692F00"/>
    <w:rsid w:val="44BC5C62"/>
    <w:rsid w:val="450B0825"/>
    <w:rsid w:val="4522684F"/>
    <w:rsid w:val="452338B5"/>
    <w:rsid w:val="458D66BC"/>
    <w:rsid w:val="46151679"/>
    <w:rsid w:val="464B52AA"/>
    <w:rsid w:val="46864A19"/>
    <w:rsid w:val="47647D42"/>
    <w:rsid w:val="47D35CCB"/>
    <w:rsid w:val="480E6ECF"/>
    <w:rsid w:val="489E0CFF"/>
    <w:rsid w:val="48DB3711"/>
    <w:rsid w:val="49880A43"/>
    <w:rsid w:val="49880F43"/>
    <w:rsid w:val="49EA4E39"/>
    <w:rsid w:val="4AE97C1C"/>
    <w:rsid w:val="4B217CD3"/>
    <w:rsid w:val="4B3517B5"/>
    <w:rsid w:val="4BB807AA"/>
    <w:rsid w:val="4C2A7D78"/>
    <w:rsid w:val="4C3C18FD"/>
    <w:rsid w:val="4D4C7856"/>
    <w:rsid w:val="4DBB20BF"/>
    <w:rsid w:val="4DF56D48"/>
    <w:rsid w:val="4E232F1B"/>
    <w:rsid w:val="4E823ED0"/>
    <w:rsid w:val="4EB55B91"/>
    <w:rsid w:val="4EB6209C"/>
    <w:rsid w:val="4F647088"/>
    <w:rsid w:val="4F916654"/>
    <w:rsid w:val="4FA43685"/>
    <w:rsid w:val="4FD86A20"/>
    <w:rsid w:val="50886507"/>
    <w:rsid w:val="50CB08F0"/>
    <w:rsid w:val="50CD6806"/>
    <w:rsid w:val="50FA1F0E"/>
    <w:rsid w:val="514176FB"/>
    <w:rsid w:val="52335076"/>
    <w:rsid w:val="52C00B21"/>
    <w:rsid w:val="52EE02E6"/>
    <w:rsid w:val="53A223C2"/>
    <w:rsid w:val="545455E7"/>
    <w:rsid w:val="549D6EB0"/>
    <w:rsid w:val="551B42ED"/>
    <w:rsid w:val="55E97435"/>
    <w:rsid w:val="55F1426D"/>
    <w:rsid w:val="564927D4"/>
    <w:rsid w:val="56DF3326"/>
    <w:rsid w:val="57171A31"/>
    <w:rsid w:val="5782697D"/>
    <w:rsid w:val="57930CDE"/>
    <w:rsid w:val="58215B01"/>
    <w:rsid w:val="58740619"/>
    <w:rsid w:val="58D03C5A"/>
    <w:rsid w:val="59A95D67"/>
    <w:rsid w:val="59D27929"/>
    <w:rsid w:val="5AAB2D31"/>
    <w:rsid w:val="5ABA3CE7"/>
    <w:rsid w:val="5AD012E5"/>
    <w:rsid w:val="5ADD0CA1"/>
    <w:rsid w:val="5B875DE4"/>
    <w:rsid w:val="5BE302F4"/>
    <w:rsid w:val="5C445C76"/>
    <w:rsid w:val="5C88446E"/>
    <w:rsid w:val="5D151D89"/>
    <w:rsid w:val="5D1A38A9"/>
    <w:rsid w:val="5D247F57"/>
    <w:rsid w:val="5D7D3B16"/>
    <w:rsid w:val="5DF00BA0"/>
    <w:rsid w:val="5E2B2568"/>
    <w:rsid w:val="5E412F34"/>
    <w:rsid w:val="5F166322"/>
    <w:rsid w:val="600C2436"/>
    <w:rsid w:val="606E7BE7"/>
    <w:rsid w:val="60A068F3"/>
    <w:rsid w:val="61EF41DA"/>
    <w:rsid w:val="629E1DC8"/>
    <w:rsid w:val="62CA6F20"/>
    <w:rsid w:val="62E25433"/>
    <w:rsid w:val="63340849"/>
    <w:rsid w:val="638E1561"/>
    <w:rsid w:val="64F124AA"/>
    <w:rsid w:val="650F0C23"/>
    <w:rsid w:val="65374CC8"/>
    <w:rsid w:val="65B37567"/>
    <w:rsid w:val="65D1387D"/>
    <w:rsid w:val="65FD2C93"/>
    <w:rsid w:val="666030F7"/>
    <w:rsid w:val="66DE72A6"/>
    <w:rsid w:val="67243C53"/>
    <w:rsid w:val="67454B8B"/>
    <w:rsid w:val="67542D87"/>
    <w:rsid w:val="67C45602"/>
    <w:rsid w:val="685929DA"/>
    <w:rsid w:val="68B5641D"/>
    <w:rsid w:val="68D74EB3"/>
    <w:rsid w:val="693A790A"/>
    <w:rsid w:val="69450C7B"/>
    <w:rsid w:val="69883B86"/>
    <w:rsid w:val="698A2836"/>
    <w:rsid w:val="6A306E2C"/>
    <w:rsid w:val="6A330056"/>
    <w:rsid w:val="6A3929B6"/>
    <w:rsid w:val="6A900F28"/>
    <w:rsid w:val="6A931FD5"/>
    <w:rsid w:val="6AA43FE7"/>
    <w:rsid w:val="6C686A25"/>
    <w:rsid w:val="6D6E18CF"/>
    <w:rsid w:val="6D87112D"/>
    <w:rsid w:val="6E32672E"/>
    <w:rsid w:val="6E62046F"/>
    <w:rsid w:val="6FDF78DB"/>
    <w:rsid w:val="705D6643"/>
    <w:rsid w:val="70F14834"/>
    <w:rsid w:val="70F911BC"/>
    <w:rsid w:val="72037FFE"/>
    <w:rsid w:val="72B45874"/>
    <w:rsid w:val="72DC671E"/>
    <w:rsid w:val="734A637D"/>
    <w:rsid w:val="735B75D3"/>
    <w:rsid w:val="740F3029"/>
    <w:rsid w:val="74A7245B"/>
    <w:rsid w:val="74EB114E"/>
    <w:rsid w:val="75CC78E3"/>
    <w:rsid w:val="76202A94"/>
    <w:rsid w:val="763403CB"/>
    <w:rsid w:val="76810A3F"/>
    <w:rsid w:val="76F14C2A"/>
    <w:rsid w:val="76F65BCE"/>
    <w:rsid w:val="77212C2B"/>
    <w:rsid w:val="779810C5"/>
    <w:rsid w:val="78032271"/>
    <w:rsid w:val="780A3E34"/>
    <w:rsid w:val="785618CD"/>
    <w:rsid w:val="78805F85"/>
    <w:rsid w:val="788A51FB"/>
    <w:rsid w:val="78986BAF"/>
    <w:rsid w:val="78E70F18"/>
    <w:rsid w:val="79344DEB"/>
    <w:rsid w:val="7997550A"/>
    <w:rsid w:val="79AF3B45"/>
    <w:rsid w:val="79C52542"/>
    <w:rsid w:val="79F73CEE"/>
    <w:rsid w:val="7AC3213C"/>
    <w:rsid w:val="7B5D6481"/>
    <w:rsid w:val="7B647093"/>
    <w:rsid w:val="7B8D6180"/>
    <w:rsid w:val="7BD9024A"/>
    <w:rsid w:val="7C30564F"/>
    <w:rsid w:val="7C9537CE"/>
    <w:rsid w:val="7CC07D57"/>
    <w:rsid w:val="7CFF1E31"/>
    <w:rsid w:val="7D7E4CD2"/>
    <w:rsid w:val="7DB34A9E"/>
    <w:rsid w:val="7DB67F30"/>
    <w:rsid w:val="7DFA099A"/>
    <w:rsid w:val="7E6C4140"/>
    <w:rsid w:val="7EA95627"/>
    <w:rsid w:val="7EBE477F"/>
    <w:rsid w:val="7ED50C94"/>
    <w:rsid w:val="7F1B1F59"/>
    <w:rsid w:val="7F357759"/>
    <w:rsid w:val="7F7A393A"/>
    <w:rsid w:val="7FDF754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60" w:lineRule="auto"/>
      <w:ind w:firstLine="480"/>
      <w:jc w:val="both"/>
    </w:pPr>
    <w:rPr>
      <w:rFonts w:ascii="Times New Roman" w:hAnsi="Times New Roman" w:eastAsia="宋体" w:cs="Times New Roman"/>
      <w:sz w:val="24"/>
      <w:szCs w:val="24"/>
      <w:u w:val="single"/>
      <w:lang w:val="en-US" w:eastAsia="zh-CN" w:bidi="ar-SA"/>
    </w:rPr>
  </w:style>
  <w:style w:type="paragraph" w:styleId="2">
    <w:name w:val="heading 1"/>
    <w:next w:val="3"/>
    <w:qFormat/>
    <w:uiPriority w:val="0"/>
    <w:pPr>
      <w:keepNext/>
      <w:keepLines/>
      <w:widowControl w:val="0"/>
      <w:tabs>
        <w:tab w:val="left" w:pos="210"/>
      </w:tabs>
      <w:spacing w:before="340" w:after="330" w:line="576" w:lineRule="auto"/>
      <w:jc w:val="center"/>
      <w:outlineLvl w:val="0"/>
    </w:pPr>
    <w:rPr>
      <w:rFonts w:ascii="Times New Roman" w:hAnsi="Times New Roman" w:eastAsia="Times New Roman" w:cs="Times New Roman"/>
      <w:b/>
      <w:bCs/>
      <w:color w:val="000000"/>
      <w:kern w:val="44"/>
      <w:sz w:val="44"/>
      <w:szCs w:val="44"/>
      <w:lang w:val="en-US" w:eastAsia="zh-CN" w:bidi="ar-SA"/>
    </w:rPr>
  </w:style>
  <w:style w:type="paragraph" w:styleId="4">
    <w:name w:val="heading 2"/>
    <w:basedOn w:val="1"/>
    <w:next w:val="1"/>
    <w:qFormat/>
    <w:uiPriority w:val="0"/>
    <w:pPr>
      <w:keepNext/>
      <w:keepLines/>
      <w:outlineLvl w:val="1"/>
    </w:pPr>
    <w:rPr>
      <w:rFonts w:ascii="Arial" w:hAnsi="Arial" w:cs="Arial"/>
      <w:b/>
      <w:bCs/>
      <w:color w:val="000000"/>
      <w:kern w:val="2"/>
      <w:szCs w:val="32"/>
    </w:rPr>
  </w:style>
  <w:style w:type="paragraph" w:styleId="5">
    <w:name w:val="heading 3"/>
    <w:basedOn w:val="1"/>
    <w:next w:val="1"/>
    <w:link w:val="30"/>
    <w:qFormat/>
    <w:uiPriority w:val="9"/>
    <w:pPr>
      <w:keepNext/>
      <w:keepLines/>
      <w:spacing w:before="260" w:after="260" w:line="416" w:lineRule="auto"/>
      <w:ind w:left="420" w:hanging="420"/>
      <w:outlineLvl w:val="2"/>
    </w:pPr>
    <w:rPr>
      <w:b/>
      <w:bCs/>
      <w:sz w:val="32"/>
      <w:szCs w:val="32"/>
    </w:rPr>
  </w:style>
  <w:style w:type="paragraph" w:styleId="6">
    <w:name w:val="heading 4"/>
    <w:basedOn w:val="1"/>
    <w:next w:val="1"/>
    <w:link w:val="31"/>
    <w:qFormat/>
    <w:uiPriority w:val="9"/>
    <w:pPr>
      <w:keepNext/>
      <w:keepLines/>
      <w:spacing w:before="280" w:after="290" w:line="376" w:lineRule="auto"/>
      <w:ind w:left="420" w:hanging="420"/>
      <w:outlineLvl w:val="3"/>
    </w:pPr>
    <w:rPr>
      <w:rFonts w:ascii="Helvetica" w:hAnsi="Helvetica"/>
      <w:b/>
      <w:bCs/>
      <w:sz w:val="28"/>
      <w:szCs w:val="28"/>
    </w:rPr>
  </w:style>
  <w:style w:type="character" w:default="1" w:styleId="26">
    <w:name w:val="Default Paragraph Font"/>
    <w:semiHidden/>
    <w:unhideWhenUsed/>
    <w:uiPriority w:val="1"/>
  </w:style>
  <w:style w:type="table" w:default="1" w:styleId="25">
    <w:name w:val="Normal Table"/>
    <w:semiHidden/>
    <w:unhideWhenUsed/>
    <w:uiPriority w:val="99"/>
    <w:tblPr>
      <w:tblCellMar>
        <w:top w:w="0" w:type="dxa"/>
        <w:left w:w="108" w:type="dxa"/>
        <w:bottom w:w="0" w:type="dxa"/>
        <w:right w:w="108" w:type="dxa"/>
      </w:tblCellMar>
    </w:tblPr>
  </w:style>
  <w:style w:type="paragraph" w:customStyle="1" w:styleId="3">
    <w:name w:val="正文 A"/>
    <w:qFormat/>
    <w:uiPriority w:val="0"/>
    <w:pPr>
      <w:widowControl w:val="0"/>
      <w:jc w:val="both"/>
    </w:pPr>
    <w:rPr>
      <w:rFonts w:ascii="Times New Roman" w:hAnsi="Times New Roman" w:eastAsia="Times New Roman" w:cs="Times New Roman"/>
      <w:color w:val="000000"/>
      <w:kern w:val="2"/>
      <w:sz w:val="21"/>
      <w:szCs w:val="21"/>
      <w:lang w:val="en-US" w:eastAsia="zh-CN" w:bidi="ar-SA"/>
    </w:rPr>
  </w:style>
  <w:style w:type="paragraph" w:styleId="7">
    <w:name w:val="toc 7"/>
    <w:basedOn w:val="1"/>
    <w:next w:val="1"/>
    <w:unhideWhenUsed/>
    <w:qFormat/>
    <w:uiPriority w:val="39"/>
    <w:pPr>
      <w:ind w:left="2520" w:leftChars="1200"/>
    </w:pPr>
  </w:style>
  <w:style w:type="paragraph" w:styleId="8">
    <w:name w:val="annotation text"/>
    <w:basedOn w:val="1"/>
    <w:link w:val="38"/>
    <w:unhideWhenUsed/>
    <w:qFormat/>
    <w:uiPriority w:val="99"/>
  </w:style>
  <w:style w:type="paragraph" w:styleId="9">
    <w:name w:val="toc 5"/>
    <w:basedOn w:val="1"/>
    <w:next w:val="1"/>
    <w:unhideWhenUsed/>
    <w:qFormat/>
    <w:uiPriority w:val="39"/>
    <w:pPr>
      <w:ind w:left="1680" w:leftChars="800"/>
    </w:pPr>
  </w:style>
  <w:style w:type="paragraph" w:styleId="10">
    <w:name w:val="toc 3"/>
    <w:basedOn w:val="1"/>
    <w:next w:val="1"/>
    <w:unhideWhenUsed/>
    <w:qFormat/>
    <w:uiPriority w:val="39"/>
    <w:pPr>
      <w:ind w:left="840" w:leftChars="400"/>
    </w:pPr>
  </w:style>
  <w:style w:type="paragraph" w:styleId="11">
    <w:name w:val="Plain Text"/>
    <w:basedOn w:val="1"/>
    <w:qFormat/>
    <w:uiPriority w:val="0"/>
    <w:rPr>
      <w:rFonts w:ascii="宋体" w:hAnsi="Courier New"/>
      <w:szCs w:val="20"/>
    </w:rPr>
  </w:style>
  <w:style w:type="paragraph" w:styleId="12">
    <w:name w:val="toc 8"/>
    <w:basedOn w:val="1"/>
    <w:next w:val="1"/>
    <w:unhideWhenUsed/>
    <w:qFormat/>
    <w:uiPriority w:val="39"/>
    <w:pPr>
      <w:ind w:left="2940" w:leftChars="1400"/>
    </w:pPr>
  </w:style>
  <w:style w:type="paragraph" w:styleId="13">
    <w:name w:val="Date"/>
    <w:basedOn w:val="1"/>
    <w:next w:val="1"/>
    <w:link w:val="44"/>
    <w:semiHidden/>
    <w:unhideWhenUsed/>
    <w:qFormat/>
    <w:uiPriority w:val="99"/>
    <w:pPr>
      <w:ind w:left="100" w:leftChars="2500"/>
    </w:pPr>
  </w:style>
  <w:style w:type="paragraph" w:styleId="14">
    <w:name w:val="Balloon Text"/>
    <w:basedOn w:val="1"/>
    <w:link w:val="37"/>
    <w:unhideWhenUsed/>
    <w:qFormat/>
    <w:uiPriority w:val="99"/>
    <w:rPr>
      <w:sz w:val="18"/>
      <w:szCs w:val="18"/>
    </w:rPr>
  </w:style>
  <w:style w:type="paragraph" w:styleId="15">
    <w:name w:val="footer"/>
    <w:basedOn w:val="1"/>
    <w:link w:val="42"/>
    <w:qFormat/>
    <w:uiPriority w:val="99"/>
    <w:pPr>
      <w:tabs>
        <w:tab w:val="center" w:pos="4153"/>
        <w:tab w:val="right" w:pos="8306"/>
      </w:tabs>
    </w:pPr>
    <w:rPr>
      <w:rFonts w:eastAsia="Arial Unicode MS" w:cs="Arial Unicode MS"/>
      <w:color w:val="000000"/>
      <w:kern w:val="2"/>
      <w:sz w:val="18"/>
      <w:szCs w:val="18"/>
    </w:rPr>
  </w:style>
  <w:style w:type="paragraph" w:styleId="16">
    <w:name w:val="header"/>
    <w:basedOn w:val="1"/>
    <w:link w:val="32"/>
    <w:unhideWhenUsed/>
    <w:qFormat/>
    <w:uiPriority w:val="99"/>
    <w:pPr>
      <w:pBdr>
        <w:bottom w:val="single" w:color="auto" w:sz="6" w:space="1"/>
      </w:pBdr>
      <w:tabs>
        <w:tab w:val="center" w:pos="4153"/>
        <w:tab w:val="right" w:pos="8306"/>
      </w:tabs>
      <w:jc w:val="center"/>
    </w:pPr>
    <w:rPr>
      <w:sz w:val="18"/>
      <w:szCs w:val="18"/>
    </w:rPr>
  </w:style>
  <w:style w:type="paragraph" w:styleId="17">
    <w:name w:val="toc 1"/>
    <w:basedOn w:val="1"/>
    <w:next w:val="1"/>
    <w:qFormat/>
    <w:uiPriority w:val="39"/>
  </w:style>
  <w:style w:type="paragraph" w:styleId="18">
    <w:name w:val="toc 4"/>
    <w:basedOn w:val="1"/>
    <w:next w:val="1"/>
    <w:unhideWhenUsed/>
    <w:qFormat/>
    <w:uiPriority w:val="39"/>
    <w:pPr>
      <w:ind w:left="1260" w:leftChars="600"/>
    </w:pPr>
  </w:style>
  <w:style w:type="paragraph" w:styleId="19">
    <w:name w:val="toc 6"/>
    <w:basedOn w:val="1"/>
    <w:next w:val="1"/>
    <w:unhideWhenUsed/>
    <w:qFormat/>
    <w:uiPriority w:val="39"/>
    <w:pPr>
      <w:ind w:left="2100" w:leftChars="1000"/>
    </w:pPr>
  </w:style>
  <w:style w:type="paragraph" w:styleId="20">
    <w:name w:val="Body Text Indent 3"/>
    <w:qFormat/>
    <w:uiPriority w:val="0"/>
    <w:pPr>
      <w:widowControl w:val="0"/>
      <w:tabs>
        <w:tab w:val="left" w:pos="820"/>
      </w:tabs>
      <w:spacing w:line="440" w:lineRule="atLeast"/>
      <w:ind w:firstLine="460"/>
      <w:jc w:val="both"/>
    </w:pPr>
    <w:rPr>
      <w:rFonts w:ascii="宋体" w:hAnsi="宋体" w:eastAsia="宋体" w:cs="宋体"/>
      <w:color w:val="000000"/>
      <w:kern w:val="2"/>
      <w:sz w:val="24"/>
      <w:szCs w:val="24"/>
      <w:lang w:val="en-US" w:eastAsia="zh-CN" w:bidi="ar-SA"/>
    </w:rPr>
  </w:style>
  <w:style w:type="paragraph" w:styleId="21">
    <w:name w:val="toc 2"/>
    <w:basedOn w:val="1"/>
    <w:next w:val="1"/>
    <w:qFormat/>
    <w:uiPriority w:val="39"/>
    <w:pPr>
      <w:ind w:left="420" w:leftChars="200"/>
    </w:pPr>
  </w:style>
  <w:style w:type="paragraph" w:styleId="22">
    <w:name w:val="toc 9"/>
    <w:basedOn w:val="1"/>
    <w:next w:val="1"/>
    <w:unhideWhenUsed/>
    <w:qFormat/>
    <w:uiPriority w:val="39"/>
    <w:pPr>
      <w:ind w:left="3360" w:leftChars="1600"/>
    </w:pPr>
  </w:style>
  <w:style w:type="paragraph" w:styleId="23">
    <w:name w:val="Normal (Web)"/>
    <w:basedOn w:val="1"/>
    <w:qFormat/>
    <w:uiPriority w:val="0"/>
    <w:rPr>
      <w:rFonts w:hint="eastAsia" w:ascii="Arial Unicode MS" w:hAnsi="Arial Unicode MS" w:eastAsia="Times New Roman" w:cs="Arial Unicode MS"/>
      <w:color w:val="000000"/>
      <w:kern w:val="2"/>
    </w:rPr>
  </w:style>
  <w:style w:type="paragraph" w:styleId="24">
    <w:name w:val="annotation subject"/>
    <w:basedOn w:val="8"/>
    <w:next w:val="8"/>
    <w:link w:val="39"/>
    <w:unhideWhenUsed/>
    <w:qFormat/>
    <w:uiPriority w:val="99"/>
    <w:rPr>
      <w:b/>
      <w:bCs/>
    </w:rPr>
  </w:style>
  <w:style w:type="character" w:styleId="27">
    <w:name w:val="page number"/>
    <w:basedOn w:val="26"/>
    <w:qFormat/>
    <w:uiPriority w:val="0"/>
    <w:rPr>
      <w:lang w:val="zh-TW" w:eastAsia="zh-TW"/>
    </w:rPr>
  </w:style>
  <w:style w:type="character" w:styleId="28">
    <w:name w:val="Hyperlink"/>
    <w:qFormat/>
    <w:uiPriority w:val="99"/>
    <w:rPr>
      <w:u w:val="single"/>
    </w:rPr>
  </w:style>
  <w:style w:type="character" w:styleId="29">
    <w:name w:val="annotation reference"/>
    <w:basedOn w:val="26"/>
    <w:unhideWhenUsed/>
    <w:qFormat/>
    <w:uiPriority w:val="99"/>
    <w:rPr>
      <w:sz w:val="21"/>
      <w:szCs w:val="21"/>
    </w:rPr>
  </w:style>
  <w:style w:type="character" w:customStyle="1" w:styleId="30">
    <w:name w:val="标题 3 字符"/>
    <w:basedOn w:val="26"/>
    <w:link w:val="5"/>
    <w:qFormat/>
    <w:uiPriority w:val="9"/>
    <w:rPr>
      <w:b/>
      <w:bCs/>
      <w:sz w:val="32"/>
      <w:szCs w:val="32"/>
      <w:lang w:eastAsia="en-US"/>
    </w:rPr>
  </w:style>
  <w:style w:type="character" w:customStyle="1" w:styleId="31">
    <w:name w:val="标题 4 字符"/>
    <w:basedOn w:val="26"/>
    <w:link w:val="6"/>
    <w:qFormat/>
    <w:uiPriority w:val="9"/>
    <w:rPr>
      <w:rFonts w:ascii="Helvetica" w:hAnsi="Helvetica"/>
      <w:b/>
      <w:bCs/>
      <w:sz w:val="28"/>
      <w:szCs w:val="28"/>
      <w:lang w:eastAsia="en-US"/>
    </w:rPr>
  </w:style>
  <w:style w:type="character" w:customStyle="1" w:styleId="32">
    <w:name w:val="页眉 字符"/>
    <w:basedOn w:val="26"/>
    <w:link w:val="16"/>
    <w:qFormat/>
    <w:uiPriority w:val="99"/>
    <w:rPr>
      <w:sz w:val="18"/>
      <w:szCs w:val="18"/>
      <w:lang w:eastAsia="en-US"/>
    </w:rPr>
  </w:style>
  <w:style w:type="paragraph" w:customStyle="1" w:styleId="33">
    <w:name w:val="页眉与页脚"/>
    <w:qFormat/>
    <w:uiPriority w:val="0"/>
    <w:pPr>
      <w:tabs>
        <w:tab w:val="right" w:pos="9020"/>
      </w:tabs>
    </w:pPr>
    <w:rPr>
      <w:rFonts w:ascii="Helvetica" w:hAnsi="Helvetica" w:eastAsia="Arial Unicode MS" w:cs="Arial Unicode MS"/>
      <w:color w:val="000000"/>
      <w:sz w:val="24"/>
      <w:szCs w:val="24"/>
      <w:lang w:val="en-US" w:eastAsia="zh-CN" w:bidi="ar-SA"/>
    </w:rPr>
  </w:style>
  <w:style w:type="paragraph" w:customStyle="1" w:styleId="34">
    <w:name w:val="列出段落1"/>
    <w:basedOn w:val="1"/>
    <w:unhideWhenUsed/>
    <w:qFormat/>
    <w:uiPriority w:val="99"/>
    <w:pPr>
      <w:ind w:firstLine="420" w:firstLineChars="200"/>
    </w:pPr>
  </w:style>
  <w:style w:type="paragraph" w:customStyle="1" w:styleId="35">
    <w:name w:val="正文 A A"/>
    <w:qFormat/>
    <w:uiPriority w:val="0"/>
    <w:pPr>
      <w:widowControl w:val="0"/>
      <w:jc w:val="both"/>
    </w:pPr>
    <w:rPr>
      <w:rFonts w:hint="eastAsia" w:ascii="Arial Unicode MS" w:hAnsi="Arial Unicode MS" w:eastAsia="Arial Unicode MS" w:cs="Arial Unicode MS"/>
      <w:color w:val="000000"/>
      <w:kern w:val="2"/>
      <w:sz w:val="21"/>
      <w:szCs w:val="21"/>
      <w:lang w:val="en-US" w:eastAsia="zh-CN" w:bidi="ar-SA"/>
    </w:rPr>
  </w:style>
  <w:style w:type="table" w:customStyle="1" w:styleId="36">
    <w:name w:val="Table Normal"/>
    <w:qFormat/>
    <w:uiPriority w:val="0"/>
    <w:tblPr>
      <w:tblCellMar>
        <w:top w:w="0" w:type="dxa"/>
        <w:left w:w="0" w:type="dxa"/>
        <w:bottom w:w="0" w:type="dxa"/>
        <w:right w:w="0" w:type="dxa"/>
      </w:tblCellMar>
    </w:tblPr>
  </w:style>
  <w:style w:type="character" w:customStyle="1" w:styleId="37">
    <w:name w:val="批注框文本 字符"/>
    <w:basedOn w:val="26"/>
    <w:link w:val="14"/>
    <w:semiHidden/>
    <w:qFormat/>
    <w:uiPriority w:val="99"/>
    <w:rPr>
      <w:sz w:val="18"/>
      <w:szCs w:val="18"/>
      <w:lang w:eastAsia="en-US"/>
    </w:rPr>
  </w:style>
  <w:style w:type="character" w:customStyle="1" w:styleId="38">
    <w:name w:val="批注文字 字符"/>
    <w:basedOn w:val="26"/>
    <w:link w:val="8"/>
    <w:qFormat/>
    <w:uiPriority w:val="99"/>
    <w:rPr>
      <w:sz w:val="24"/>
      <w:szCs w:val="24"/>
      <w:lang w:eastAsia="en-US"/>
    </w:rPr>
  </w:style>
  <w:style w:type="character" w:customStyle="1" w:styleId="39">
    <w:name w:val="批注主题 字符"/>
    <w:basedOn w:val="38"/>
    <w:link w:val="24"/>
    <w:qFormat/>
    <w:uiPriority w:val="0"/>
    <w:rPr>
      <w:sz w:val="24"/>
      <w:szCs w:val="24"/>
      <w:lang w:eastAsia="en-US"/>
    </w:rPr>
  </w:style>
  <w:style w:type="paragraph" w:customStyle="1" w:styleId="40">
    <w:name w:val="TOC 标题1"/>
    <w:basedOn w:val="2"/>
    <w:next w:val="1"/>
    <w:unhideWhenUsed/>
    <w:qFormat/>
    <w:uiPriority w:val="39"/>
    <w:pPr>
      <w:widowControl/>
      <w:tabs>
        <w:tab w:val="clear" w:pos="210"/>
      </w:tabs>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styleId="41">
    <w:name w:val="List Paragraph"/>
    <w:basedOn w:val="1"/>
    <w:unhideWhenUsed/>
    <w:qFormat/>
    <w:uiPriority w:val="99"/>
    <w:pPr>
      <w:ind w:firstLine="420" w:firstLineChars="200"/>
    </w:pPr>
  </w:style>
  <w:style w:type="character" w:customStyle="1" w:styleId="42">
    <w:name w:val="页脚 字符"/>
    <w:basedOn w:val="26"/>
    <w:link w:val="15"/>
    <w:qFormat/>
    <w:uiPriority w:val="99"/>
    <w:rPr>
      <w:rFonts w:eastAsia="Arial Unicode MS" w:cs="Arial Unicode MS"/>
      <w:color w:val="000000"/>
      <w:kern w:val="2"/>
      <w:sz w:val="18"/>
      <w:szCs w:val="18"/>
      <w:u w:val="single"/>
    </w:rPr>
  </w:style>
  <w:style w:type="paragraph" w:customStyle="1" w:styleId="43">
    <w:name w:val="TOC 标题2"/>
    <w:basedOn w:val="2"/>
    <w:next w:val="1"/>
    <w:unhideWhenUsed/>
    <w:qFormat/>
    <w:uiPriority w:val="39"/>
    <w:pPr>
      <w:widowControl/>
      <w:tabs>
        <w:tab w:val="clear" w:pos="210"/>
      </w:tabs>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44">
    <w:name w:val="日期 字符"/>
    <w:basedOn w:val="26"/>
    <w:link w:val="13"/>
    <w:semiHidden/>
    <w:qFormat/>
    <w:uiPriority w:val="99"/>
    <w:rPr>
      <w:sz w:val="24"/>
      <w:szCs w:val="24"/>
      <w:u w:val="single"/>
    </w:rPr>
  </w:style>
  <w:style w:type="paragraph" w:customStyle="1" w:styleId="45">
    <w:name w:val="WPSOffice手动目录 1"/>
    <w:qFormat/>
    <w:uiPriority w:val="0"/>
    <w:rPr>
      <w:rFonts w:ascii="Times New Roman" w:hAnsi="Times New Roman" w:eastAsia="宋体" w:cs="Times New Roman"/>
      <w:lang w:val="en-US" w:eastAsia="zh-CN" w:bidi="ar-SA"/>
    </w:rPr>
  </w:style>
  <w:style w:type="paragraph" w:customStyle="1" w:styleId="4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7">
    <w:name w:val="WPSOffice手动目录 3"/>
    <w:qFormat/>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075"/>
    <customShpInfo spid="_x0000_s3073"/>
    <customShpInfo spid="_x0000_s3074"/>
    <customShpInfo spid="_x0000_s3093"/>
    <customShpInfo spid="_x0000_s3095"/>
    <customShpInfo spid="_x0000_s3096"/>
    <customShpInfo spid="_x0000_s3081"/>
    <customShpInfo spid="_x0000_s3076"/>
    <customShpInfo spid="_x0000_s3077"/>
    <customShpInfo spid="_x0000_s307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0CE0A0-E56D-407C-A294-D0B5F14E1F73}">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27</Pages>
  <Words>8923</Words>
  <Characters>9454</Characters>
  <Lines>91</Lines>
  <Paragraphs>25</Paragraphs>
  <TotalTime>39</TotalTime>
  <ScaleCrop>false</ScaleCrop>
  <LinksUpToDate>false</LinksUpToDate>
  <CharactersWithSpaces>10079</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2017-08-11T09:46:00Z</dcterms:created>
  <dc:creator>Administrator</dc:creator>
  <cp:lastModifiedBy>CWZCB_8</cp:lastModifiedBy>
  <cp:lastPrinted>2023-10-26T00:00:00Z</cp:lastPrinted>
  <dcterms:modified xsi:type="dcterms:W3CDTF">2023-10-27T07:47:16Z</dcterms:modified>
  <dc:title>太原重工股份有限公司招标文件</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511C44240E714725ABF0928292D7AA6A</vt:lpwstr>
  </property>
</Properties>
</file>